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E0E" w:rsidRDefault="009B1E0E" w:rsidP="0088709E">
      <w:pPr>
        <w:pStyle w:val="DFARS"/>
        <w:jc w:val="center"/>
        <w:rPr>
          <w:b/>
        </w:rPr>
      </w:pPr>
      <w:bookmarkStart w:id="0" w:name="BM207_"/>
      <w:bookmarkStart w:id="1" w:name="_GoBack"/>
      <w:bookmarkEnd w:id="1"/>
      <w:r>
        <w:rPr>
          <w:b/>
        </w:rPr>
        <w:t>TABLE OF CONTENTS</w:t>
      </w:r>
    </w:p>
    <w:p w:rsidR="000076D1" w:rsidRDefault="000076D1" w:rsidP="0088709E">
      <w:pPr>
        <w:pStyle w:val="DFARS"/>
        <w:tabs>
          <w:tab w:val="bar" w:pos="10080"/>
        </w:tabs>
        <w:jc w:val="center"/>
        <w:rPr>
          <w:i/>
        </w:rPr>
      </w:pPr>
      <w:r>
        <w:rPr>
          <w:i/>
        </w:rPr>
        <w:t>(</w:t>
      </w:r>
      <w:r w:rsidR="0088709E">
        <w:rPr>
          <w:i/>
        </w:rPr>
        <w:t>April 13, 2018</w:t>
      </w:r>
      <w:r>
        <w:rPr>
          <w:i/>
        </w:rPr>
        <w:t>)</w:t>
      </w:r>
    </w:p>
    <w:p w:rsidR="009B1E0E" w:rsidRDefault="009B1E0E" w:rsidP="0088709E">
      <w:pPr>
        <w:pStyle w:val="DFARS"/>
      </w:pPr>
    </w:p>
    <w:p w:rsidR="009B1E0E" w:rsidRDefault="009B1E0E" w:rsidP="0088709E">
      <w:pPr>
        <w:pStyle w:val="DFARS"/>
      </w:pPr>
    </w:p>
    <w:p w:rsidR="009B1E0E" w:rsidRDefault="009B1E0E" w:rsidP="0088709E">
      <w:pPr>
        <w:pStyle w:val="DFARS"/>
        <w:rPr>
          <w:b/>
        </w:rPr>
      </w:pPr>
      <w:r>
        <w:rPr>
          <w:b/>
        </w:rPr>
        <w:t>SUBPART 207.1--ACQUISITION PLANS</w:t>
      </w:r>
    </w:p>
    <w:p w:rsidR="00DF2D82" w:rsidRDefault="00DF2D82" w:rsidP="0088709E">
      <w:pPr>
        <w:pStyle w:val="DFARS"/>
      </w:pPr>
      <w:r>
        <w:t>207.102</w:t>
      </w:r>
      <w:r>
        <w:tab/>
      </w:r>
      <w:r>
        <w:tab/>
        <w:t>Policy.</w:t>
      </w:r>
    </w:p>
    <w:p w:rsidR="009B1E0E" w:rsidRDefault="009B1E0E" w:rsidP="0088709E">
      <w:pPr>
        <w:pStyle w:val="DFARS"/>
      </w:pPr>
      <w:r>
        <w:t>207.103</w:t>
      </w:r>
      <w:r>
        <w:tab/>
      </w:r>
      <w:r>
        <w:tab/>
        <w:t>Agency-head responsibilities.</w:t>
      </w:r>
    </w:p>
    <w:p w:rsidR="001E4B76" w:rsidRDefault="001E4B76" w:rsidP="0088709E">
      <w:pPr>
        <w:pStyle w:val="DFARS"/>
      </w:pPr>
      <w:r>
        <w:t>207.104</w:t>
      </w:r>
      <w:r>
        <w:tab/>
      </w:r>
      <w:r>
        <w:tab/>
        <w:t>General procedures.</w:t>
      </w:r>
    </w:p>
    <w:p w:rsidR="009B1E0E" w:rsidRDefault="009B1E0E" w:rsidP="0088709E">
      <w:pPr>
        <w:pStyle w:val="DFARS"/>
      </w:pPr>
      <w:r>
        <w:t>207.105</w:t>
      </w:r>
      <w:r>
        <w:tab/>
      </w:r>
      <w:r>
        <w:tab/>
        <w:t>Contents of written acquisition plans.</w:t>
      </w:r>
    </w:p>
    <w:p w:rsidR="009B1E0E" w:rsidRDefault="009B1E0E" w:rsidP="0088709E">
      <w:pPr>
        <w:pStyle w:val="DFARS"/>
      </w:pPr>
      <w:r>
        <w:t>207.106</w:t>
      </w:r>
      <w:r>
        <w:tab/>
      </w:r>
      <w:r>
        <w:tab/>
        <w:t>Additional requirements for major systems.</w:t>
      </w:r>
    </w:p>
    <w:p w:rsidR="001550FC" w:rsidRDefault="001550FC" w:rsidP="0088709E">
      <w:pPr>
        <w:pStyle w:val="DFARS"/>
        <w:tabs>
          <w:tab w:val="bar" w:pos="10080"/>
        </w:tabs>
      </w:pPr>
      <w:r>
        <w:t>207.170</w:t>
      </w:r>
      <w:r>
        <w:tab/>
      </w:r>
      <w:r>
        <w:tab/>
      </w:r>
      <w:r w:rsidR="0088709E">
        <w:t>Reserved.</w:t>
      </w:r>
    </w:p>
    <w:p w:rsidR="001550FC" w:rsidRDefault="001550FC" w:rsidP="0088709E">
      <w:pPr>
        <w:pStyle w:val="DFARS"/>
      </w:pPr>
      <w:r>
        <w:t>207.170-1</w:t>
      </w:r>
      <w:r>
        <w:tab/>
      </w:r>
      <w:r>
        <w:tab/>
        <w:t>Scope.</w:t>
      </w:r>
    </w:p>
    <w:p w:rsidR="001550FC" w:rsidRDefault="001550FC" w:rsidP="0088709E">
      <w:pPr>
        <w:pStyle w:val="DFARS"/>
      </w:pPr>
      <w:r>
        <w:t>207.170-2</w:t>
      </w:r>
      <w:r>
        <w:tab/>
      </w:r>
      <w:r>
        <w:tab/>
        <w:t>Definitions.</w:t>
      </w:r>
    </w:p>
    <w:p w:rsidR="001550FC" w:rsidRDefault="001550FC" w:rsidP="0088709E">
      <w:pPr>
        <w:pStyle w:val="DFARS"/>
      </w:pPr>
      <w:r>
        <w:t>207.170-3</w:t>
      </w:r>
      <w:r>
        <w:tab/>
      </w:r>
      <w:r>
        <w:tab/>
        <w:t>Policy and procedures.</w:t>
      </w:r>
    </w:p>
    <w:p w:rsidR="00B0244B" w:rsidRDefault="0088709E" w:rsidP="0088709E">
      <w:pPr>
        <w:pStyle w:val="DFARS"/>
      </w:pPr>
      <w:r>
        <w:t>207.171</w:t>
      </w:r>
      <w:r>
        <w:tab/>
      </w:r>
      <w:r>
        <w:tab/>
        <w:t>Component breakout.</w:t>
      </w:r>
    </w:p>
    <w:p w:rsidR="00B0244B" w:rsidRDefault="00B0244B" w:rsidP="0088709E">
      <w:pPr>
        <w:pStyle w:val="DFARS"/>
      </w:pPr>
      <w:r>
        <w:t>207.17</w:t>
      </w:r>
      <w:r w:rsidR="005879A5">
        <w:t>1</w:t>
      </w:r>
      <w:r>
        <w:t>-1</w:t>
      </w:r>
      <w:r>
        <w:tab/>
      </w:r>
      <w:r>
        <w:tab/>
        <w:t>Scope.</w:t>
      </w:r>
    </w:p>
    <w:p w:rsidR="00B0244B" w:rsidRDefault="00B0244B" w:rsidP="0088709E">
      <w:pPr>
        <w:pStyle w:val="DFARS"/>
      </w:pPr>
      <w:r>
        <w:t>207.17</w:t>
      </w:r>
      <w:r w:rsidR="005879A5">
        <w:t>1</w:t>
      </w:r>
      <w:r>
        <w:t>-2</w:t>
      </w:r>
      <w:r>
        <w:tab/>
      </w:r>
      <w:r>
        <w:tab/>
        <w:t>Definition.</w:t>
      </w:r>
    </w:p>
    <w:p w:rsidR="00B0244B" w:rsidRDefault="00B0244B" w:rsidP="0088709E">
      <w:pPr>
        <w:pStyle w:val="DFARS"/>
      </w:pPr>
      <w:r>
        <w:t>207.17</w:t>
      </w:r>
      <w:r w:rsidR="005879A5">
        <w:t>1</w:t>
      </w:r>
      <w:r>
        <w:t>-3</w:t>
      </w:r>
      <w:r>
        <w:tab/>
      </w:r>
      <w:r>
        <w:tab/>
        <w:t>Policy.</w:t>
      </w:r>
    </w:p>
    <w:p w:rsidR="00B0244B" w:rsidRDefault="00B0244B" w:rsidP="0088709E">
      <w:pPr>
        <w:pStyle w:val="DFARS"/>
      </w:pPr>
      <w:r>
        <w:t>207.17</w:t>
      </w:r>
      <w:r w:rsidR="005879A5">
        <w:t>1</w:t>
      </w:r>
      <w:r>
        <w:t>-4</w:t>
      </w:r>
      <w:r>
        <w:tab/>
      </w:r>
      <w:r>
        <w:tab/>
        <w:t>Procedures.</w:t>
      </w:r>
    </w:p>
    <w:p w:rsidR="00F06D7C" w:rsidRDefault="00F06D7C" w:rsidP="0088709E">
      <w:pPr>
        <w:pStyle w:val="DFARS"/>
      </w:pPr>
      <w:r>
        <w:t>207.172</w:t>
      </w:r>
      <w:r>
        <w:tab/>
      </w:r>
      <w:r>
        <w:tab/>
        <w:t>Human research.</w:t>
      </w:r>
    </w:p>
    <w:p w:rsidR="009B1E0E" w:rsidRDefault="009B1E0E" w:rsidP="0088709E">
      <w:pPr>
        <w:pStyle w:val="DFARS"/>
      </w:pPr>
    </w:p>
    <w:p w:rsidR="005C1023" w:rsidRDefault="005C1023" w:rsidP="0088709E">
      <w:pPr>
        <w:pStyle w:val="DFARS"/>
        <w:rPr>
          <w:b/>
        </w:rPr>
      </w:pPr>
      <w:r w:rsidRPr="005C1023">
        <w:rPr>
          <w:b/>
        </w:rPr>
        <w:t xml:space="preserve">SUBPART 207.3—CONTRACTOR VERSUS GOVERNMENT PERFORMANCE </w:t>
      </w:r>
    </w:p>
    <w:p w:rsidR="000E759C" w:rsidRDefault="000E759C" w:rsidP="0088709E">
      <w:pPr>
        <w:pStyle w:val="DFARS"/>
      </w:pPr>
      <w:r>
        <w:t>207.302</w:t>
      </w:r>
      <w:r>
        <w:tab/>
      </w:r>
      <w:r>
        <w:tab/>
        <w:t>Policy.</w:t>
      </w:r>
    </w:p>
    <w:p w:rsidR="005C1023" w:rsidRDefault="005C1023" w:rsidP="0088709E">
      <w:pPr>
        <w:pStyle w:val="DFARS"/>
        <w:rPr>
          <w:b/>
        </w:rPr>
      </w:pPr>
    </w:p>
    <w:p w:rsidR="009B1E0E" w:rsidRDefault="009B1E0E" w:rsidP="0088709E">
      <w:pPr>
        <w:pStyle w:val="DFARS"/>
        <w:rPr>
          <w:b/>
        </w:rPr>
      </w:pPr>
      <w:r>
        <w:rPr>
          <w:b/>
        </w:rPr>
        <w:t>SUBPART 207.4--EQUIPMENT LEASE OR PURCHASE</w:t>
      </w:r>
    </w:p>
    <w:p w:rsidR="009B1E0E" w:rsidRDefault="009B1E0E" w:rsidP="0088709E">
      <w:pPr>
        <w:pStyle w:val="DFARS"/>
      </w:pPr>
      <w:r>
        <w:t>207.401</w:t>
      </w:r>
      <w:r>
        <w:tab/>
      </w:r>
      <w:r>
        <w:tab/>
        <w:t>Acquisition considerations.</w:t>
      </w:r>
    </w:p>
    <w:p w:rsidR="009B1E0E" w:rsidRDefault="009B1E0E" w:rsidP="0088709E">
      <w:pPr>
        <w:pStyle w:val="DFARS"/>
      </w:pPr>
      <w:r>
        <w:t>207.470</w:t>
      </w:r>
      <w:r>
        <w:tab/>
      </w:r>
      <w:r>
        <w:tab/>
        <w:t>Statutory requirement.</w:t>
      </w:r>
    </w:p>
    <w:p w:rsidR="009B1E0E" w:rsidRDefault="009B1E0E" w:rsidP="0088709E">
      <w:pPr>
        <w:pStyle w:val="DFARS"/>
      </w:pPr>
      <w:r>
        <w:t>207.471</w:t>
      </w:r>
      <w:r>
        <w:tab/>
      </w:r>
      <w:r>
        <w:tab/>
        <w:t>Funding requirements.</w:t>
      </w:r>
    </w:p>
    <w:p w:rsidR="00876D2E" w:rsidRDefault="00876D2E" w:rsidP="0088709E">
      <w:pPr>
        <w:pStyle w:val="DFARS"/>
      </w:pPr>
    </w:p>
    <w:p w:rsidR="00876D2E" w:rsidRDefault="00876D2E" w:rsidP="0088709E">
      <w:pPr>
        <w:pStyle w:val="DFARS"/>
        <w:rPr>
          <w:b/>
        </w:rPr>
      </w:pPr>
      <w:r>
        <w:rPr>
          <w:b/>
        </w:rPr>
        <w:t>SUBPART 207.5—INHERENTLY GOVERNMENTAL FUNCTIONS</w:t>
      </w:r>
    </w:p>
    <w:p w:rsidR="00876D2E" w:rsidRDefault="00876D2E" w:rsidP="0088709E">
      <w:pPr>
        <w:pStyle w:val="DFARS"/>
        <w:numPr>
          <w:ilvl w:val="1"/>
          <w:numId w:val="1"/>
        </w:numPr>
      </w:pPr>
      <w:r>
        <w:t>Scope of subpart.</w:t>
      </w:r>
    </w:p>
    <w:p w:rsidR="00876D2E" w:rsidRDefault="00876D2E" w:rsidP="0088709E">
      <w:pPr>
        <w:pStyle w:val="DFARS"/>
      </w:pPr>
      <w:r>
        <w:t>207.503</w:t>
      </w:r>
      <w:r>
        <w:tab/>
        <w:t>Policy.</w:t>
      </w:r>
    </w:p>
    <w:p w:rsidR="006830E7" w:rsidRDefault="006830E7" w:rsidP="0088709E">
      <w:pPr>
        <w:pStyle w:val="DFARS"/>
      </w:pPr>
    </w:p>
    <w:p w:rsidR="006830E7" w:rsidRDefault="006830E7" w:rsidP="0088709E">
      <w:pPr>
        <w:pStyle w:val="DFARS"/>
        <w:rPr>
          <w:b/>
        </w:rPr>
      </w:pPr>
      <w:r>
        <w:rPr>
          <w:b/>
        </w:rPr>
        <w:t>SUBPART 207.70</w:t>
      </w:r>
      <w:r w:rsidR="00A86AF6">
        <w:rPr>
          <w:b/>
        </w:rPr>
        <w:t>--</w:t>
      </w:r>
      <w:r>
        <w:rPr>
          <w:b/>
        </w:rPr>
        <w:t xml:space="preserve">BUY-TO-BUDGET – ADDITIONAL QUANTITIES OF END </w:t>
      </w:r>
      <w:r>
        <w:rPr>
          <w:b/>
        </w:rPr>
        <w:tab/>
        <w:t>ITEMS</w:t>
      </w:r>
    </w:p>
    <w:p w:rsidR="006830E7" w:rsidRDefault="006830E7" w:rsidP="0088709E">
      <w:pPr>
        <w:pStyle w:val="DFARS"/>
      </w:pPr>
      <w:r>
        <w:t>207.7001</w:t>
      </w:r>
      <w:r>
        <w:tab/>
      </w:r>
      <w:r>
        <w:tab/>
        <w:t>Definition.</w:t>
      </w:r>
    </w:p>
    <w:p w:rsidR="006830E7" w:rsidRDefault="006830E7" w:rsidP="0088709E">
      <w:pPr>
        <w:pStyle w:val="DFARS"/>
      </w:pPr>
      <w:r>
        <w:t>207.7002</w:t>
      </w:r>
      <w:r>
        <w:tab/>
      </w:r>
      <w:r>
        <w:tab/>
        <w:t>Authority to acquire additional quantities of end items.</w:t>
      </w:r>
    </w:p>
    <w:p w:rsidR="006830E7" w:rsidRDefault="006830E7" w:rsidP="0088709E">
      <w:pPr>
        <w:pStyle w:val="DFARS"/>
      </w:pPr>
      <w:r>
        <w:t>207.7003</w:t>
      </w:r>
      <w:r>
        <w:tab/>
      </w:r>
      <w:r>
        <w:tab/>
        <w:t xml:space="preserve">Limitation. </w:t>
      </w:r>
    </w:p>
    <w:p w:rsidR="0088709E" w:rsidRDefault="0088709E" w:rsidP="0088709E">
      <w:pPr>
        <w:pStyle w:val="DFARS"/>
      </w:pPr>
    </w:p>
    <w:bookmarkEnd w:id="0"/>
    <w:p w:rsidR="009B1E0E" w:rsidRDefault="009B1E0E" w:rsidP="0088709E">
      <w:pPr>
        <w:pStyle w:val="DFARS"/>
      </w:pPr>
    </w:p>
    <w:sectPr w:rsidR="009B1E0E">
      <w:headerReference w:type="even" r:id="rId7"/>
      <w:headerReference w:type="default" r:id="rId8"/>
      <w:footerReference w:type="even" r:id="rId9"/>
      <w:footerReference w:type="default" r:id="rId10"/>
      <w:footnotePr>
        <w:numStart w:val="0"/>
      </w:footnotePr>
      <w:pgSz w:w="12240" w:h="15840" w:code="1"/>
      <w:pgMar w:top="720" w:right="1440" w:bottom="720" w:left="1440" w:header="634" w:footer="6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494" w:rsidRDefault="00920494">
      <w:r>
        <w:separator/>
      </w:r>
    </w:p>
  </w:endnote>
  <w:endnote w:type="continuationSeparator" w:id="0">
    <w:p w:rsidR="00920494" w:rsidRDefault="00920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  <w:embedRegular r:id="rId1" w:fontKey="{ECD5A587-5C6F-457C-ABAA-9111435A9EFD}"/>
    <w:embedBold r:id="rId2" w:fontKey="{9AF751AF-194E-409C-81DB-D7ED6ACF3BFC}"/>
    <w:embedItalic r:id="rId3" w:fontKey="{67E62F87-C2F2-49B0-9307-E3BFA15F67D2}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126" w:rsidRDefault="00F22126">
    <w:pPr>
      <w:tabs>
        <w:tab w:val="left" w:pos="80"/>
      </w:tabs>
      <w:ind w:right="-720"/>
      <w:rPr>
        <w:rFonts w:ascii="Geneva" w:hAnsi="Geneva"/>
        <w:sz w:val="18"/>
      </w:rPr>
    </w:pPr>
  </w:p>
  <w:p w:rsidR="00F22126" w:rsidRDefault="00F22126">
    <w:pPr>
      <w:rPr>
        <w:rFonts w:ascii="Geneva" w:hAnsi="Geneva"/>
        <w:sz w:val="18"/>
      </w:rPr>
    </w:pPr>
  </w:p>
  <w:p w:rsidR="00F22126" w:rsidRDefault="00F22126">
    <w:pPr>
      <w:tabs>
        <w:tab w:val="right" w:pos="9720"/>
      </w:tabs>
      <w:ind w:right="-720"/>
      <w:rPr>
        <w:rFonts w:ascii="Geneva" w:hAnsi="Geneva"/>
        <w:b w:val="0"/>
        <w:sz w:val="18"/>
      </w:rPr>
    </w:pPr>
    <w:r>
      <w:rPr>
        <w:rFonts w:ascii="Geneva" w:hAnsi="Geneva"/>
        <w:b w:val="0"/>
        <w:sz w:val="18"/>
      </w:rPr>
      <w:t>_____________________________________________________________________________</w:t>
    </w:r>
  </w:p>
  <w:p w:rsidR="00F22126" w:rsidRDefault="00F22126">
    <w:pPr>
      <w:tabs>
        <w:tab w:val="right" w:pos="9260"/>
      </w:tabs>
      <w:ind w:right="-80"/>
      <w:rPr>
        <w:rFonts w:ascii="Helvetica" w:hAnsi="Helvetica"/>
        <w:b w:val="0"/>
        <w:sz w:val="20"/>
      </w:rPr>
    </w:pPr>
    <w:r>
      <w:rPr>
        <w:rFonts w:ascii="Helvetica" w:hAnsi="Helvetica"/>
        <w:b w:val="0"/>
        <w:sz w:val="20"/>
      </w:rPr>
      <w:t>207.4-</w:t>
    </w:r>
    <w:r>
      <w:rPr>
        <w:rFonts w:ascii="Helvetica" w:hAnsi="Helvetica"/>
        <w:b w:val="0"/>
        <w:sz w:val="20"/>
      </w:rPr>
      <w:pgNum/>
    </w:r>
    <w:r>
      <w:rPr>
        <w:rFonts w:ascii="Helvetica" w:hAnsi="Helvetica"/>
        <w:b w:val="0"/>
        <w:sz w:val="20"/>
      </w:rPr>
      <w:tab/>
    </w:r>
    <w:r>
      <w:rPr>
        <w:rFonts w:ascii="Helvetica" w:hAnsi="Helvetica"/>
        <w:b w:val="0"/>
        <w:sz w:val="20"/>
      </w:rPr>
      <w:tab/>
      <w:t>1991 EDITION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62A" w:rsidRDefault="0052062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82D78">
      <w:t>1</w:t>
    </w:r>
    <w:r>
      <w:fldChar w:fldCharType="end"/>
    </w:r>
  </w:p>
  <w:p w:rsidR="00F22126" w:rsidRDefault="00F22126">
    <w:pPr>
      <w:pStyle w:val="Footer"/>
      <w:pBdr>
        <w:top w:val="single" w:sz="6" w:space="1" w:color="auto"/>
      </w:pBdr>
      <w:tabs>
        <w:tab w:val="clear" w:pos="8640"/>
        <w:tab w:val="right" w:pos="9260"/>
      </w:tabs>
      <w:ind w:left="0" w:firstLine="0"/>
      <w:rPr>
        <w:rFonts w:ascii="Century Schoolbook" w:hAnsi="Century Schoolbook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494" w:rsidRDefault="00920494">
      <w:r>
        <w:separator/>
      </w:r>
    </w:p>
  </w:footnote>
  <w:footnote w:type="continuationSeparator" w:id="0">
    <w:p w:rsidR="00920494" w:rsidRDefault="00920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126" w:rsidRDefault="00F22126">
    <w:pPr>
      <w:pStyle w:val="Header"/>
      <w:tabs>
        <w:tab w:val="clear" w:pos="8640"/>
      </w:tabs>
      <w:ind w:right="-440"/>
      <w:jc w:val="center"/>
      <w:rPr>
        <w:rFonts w:ascii="Helvetica" w:hAnsi="Helvetica"/>
        <w:b w:val="0"/>
        <w:sz w:val="18"/>
      </w:rPr>
    </w:pPr>
    <w:r>
      <w:rPr>
        <w:rFonts w:ascii="Helvetica" w:hAnsi="Helvetica"/>
        <w:b w:val="0"/>
        <w:sz w:val="18"/>
      </w:rPr>
      <w:t>Defense Federal Acquisition Regulation Supplement</w:t>
    </w:r>
  </w:p>
  <w:p w:rsidR="00F22126" w:rsidRDefault="00F22126">
    <w:pPr>
      <w:pStyle w:val="Header"/>
      <w:rPr>
        <w:rFonts w:ascii="Helvetica" w:hAnsi="Helvetica"/>
        <w:sz w:val="18"/>
      </w:rPr>
    </w:pPr>
  </w:p>
  <w:p w:rsidR="00F22126" w:rsidRDefault="00F22126">
    <w:pPr>
      <w:pStyle w:val="Header"/>
      <w:spacing w:after="10"/>
      <w:rPr>
        <w:rFonts w:ascii="Helvetica" w:hAnsi="Helvetica"/>
        <w:b w:val="0"/>
        <w:sz w:val="20"/>
      </w:rPr>
    </w:pPr>
    <w:r>
      <w:rPr>
        <w:rFonts w:ascii="Helvetica" w:hAnsi="Helvetica"/>
        <w:b w:val="0"/>
        <w:sz w:val="20"/>
      </w:rPr>
      <w:t>Part 207--Acquisition Planning</w:t>
    </w:r>
  </w:p>
  <w:p w:rsidR="00F22126" w:rsidRDefault="00F22126">
    <w:pPr>
      <w:pStyle w:val="Header"/>
      <w:spacing w:before="10" w:line="40" w:lineRule="exact"/>
      <w:rPr>
        <w:rFonts w:ascii="Helvetica" w:hAnsi="Helvetica"/>
        <w:b w:val="0"/>
        <w:position w:val="6"/>
        <w:sz w:val="18"/>
      </w:rPr>
    </w:pPr>
    <w:r>
      <w:rPr>
        <w:rFonts w:ascii="Geneva" w:hAnsi="Geneva"/>
        <w:b w:val="0"/>
        <w:position w:val="6"/>
        <w:sz w:val="18"/>
      </w:rPr>
      <w:t>_____________________________________________________________________________</w:t>
    </w:r>
  </w:p>
  <w:p w:rsidR="00F22126" w:rsidRDefault="00F22126">
    <w:pPr>
      <w:pStyle w:val="Header"/>
      <w:tabs>
        <w:tab w:val="right" w:pos="10260"/>
      </w:tabs>
      <w:ind w:right="-800"/>
      <w:rPr>
        <w:rFonts w:ascii="Helvetica" w:hAnsi="Helvetica"/>
        <w:sz w:val="20"/>
        <w:u w:val="single"/>
      </w:rPr>
    </w:pPr>
  </w:p>
  <w:p w:rsidR="00F22126" w:rsidRDefault="00F22126">
    <w:pPr>
      <w:pStyle w:val="Header"/>
      <w:tabs>
        <w:tab w:val="right" w:pos="10260"/>
      </w:tabs>
      <w:ind w:right="-800"/>
      <w:rPr>
        <w:rFonts w:ascii="Helvetica" w:hAnsi="Helvetica"/>
        <w:sz w:val="20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126" w:rsidRDefault="00F22126">
    <w:pPr>
      <w:pStyle w:val="Header"/>
      <w:tabs>
        <w:tab w:val="clear" w:pos="8640"/>
      </w:tabs>
      <w:ind w:left="0" w:firstLine="0"/>
      <w:jc w:val="center"/>
      <w:rPr>
        <w:rFonts w:ascii="Century Schoolbook" w:hAnsi="Century Schoolbook"/>
        <w:sz w:val="22"/>
      </w:rPr>
    </w:pPr>
    <w:r>
      <w:rPr>
        <w:rFonts w:ascii="Century Schoolbook" w:hAnsi="Century Schoolbook"/>
        <w:sz w:val="22"/>
      </w:rPr>
      <w:t>Defense Federal Acquisition Regulation Supplement</w:t>
    </w:r>
  </w:p>
  <w:p w:rsidR="00F22126" w:rsidRDefault="00F22126">
    <w:pPr>
      <w:pStyle w:val="Header"/>
      <w:ind w:left="0" w:firstLine="0"/>
      <w:rPr>
        <w:rFonts w:ascii="Century Schoolbook" w:hAnsi="Century Schoolbook"/>
        <w:b w:val="0"/>
        <w:sz w:val="20"/>
      </w:rPr>
    </w:pPr>
  </w:p>
  <w:p w:rsidR="00F22126" w:rsidRDefault="00F22126">
    <w:pPr>
      <w:pStyle w:val="Header"/>
      <w:pBdr>
        <w:bottom w:val="single" w:sz="6" w:space="1" w:color="auto"/>
      </w:pBdr>
      <w:tabs>
        <w:tab w:val="clear" w:pos="8640"/>
        <w:tab w:val="right" w:pos="9260"/>
      </w:tabs>
      <w:spacing w:after="20"/>
      <w:ind w:left="0" w:firstLine="0"/>
      <w:rPr>
        <w:rFonts w:ascii="Century Schoolbook" w:hAnsi="Century Schoolbook"/>
        <w:sz w:val="20"/>
      </w:rPr>
    </w:pPr>
    <w:r>
      <w:rPr>
        <w:rFonts w:ascii="Century Schoolbook" w:hAnsi="Century Schoolbook"/>
        <w:sz w:val="20"/>
      </w:rPr>
      <w:t>Part 207—Acquisition Planning</w:t>
    </w:r>
  </w:p>
  <w:p w:rsidR="00F22126" w:rsidRDefault="00F22126">
    <w:pPr>
      <w:pStyle w:val="Header"/>
      <w:tabs>
        <w:tab w:val="clear" w:pos="8640"/>
        <w:tab w:val="right" w:pos="9260"/>
      </w:tabs>
      <w:spacing w:before="20" w:line="20" w:lineRule="exact"/>
      <w:ind w:left="0" w:firstLine="0"/>
      <w:rPr>
        <w:rFonts w:ascii="Century Schoolbook" w:hAnsi="Century Schoolbook"/>
        <w:b w:val="0"/>
        <w:position w:val="6"/>
        <w:sz w:val="18"/>
      </w:rPr>
    </w:pPr>
  </w:p>
  <w:p w:rsidR="00F22126" w:rsidRDefault="00F22126">
    <w:pPr>
      <w:pStyle w:val="Header"/>
      <w:tabs>
        <w:tab w:val="clear" w:pos="8640"/>
        <w:tab w:val="right" w:pos="9260"/>
      </w:tabs>
      <w:ind w:left="0" w:firstLine="0"/>
      <w:rPr>
        <w:rFonts w:ascii="Century Schoolbook" w:hAnsi="Century Schoolbook"/>
        <w:b w:val="0"/>
        <w:sz w:val="20"/>
      </w:rPr>
    </w:pPr>
  </w:p>
  <w:p w:rsidR="00F22126" w:rsidRDefault="00F22126">
    <w:pPr>
      <w:pStyle w:val="Header"/>
      <w:ind w:left="0" w:firstLine="0"/>
      <w:rPr>
        <w:rFonts w:ascii="Century Schoolbook" w:hAnsi="Century Schoolbook"/>
        <w:b w:val="0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C05F2A"/>
    <w:multiLevelType w:val="multilevel"/>
    <w:tmpl w:val="254073D4"/>
    <w:lvl w:ilvl="0">
      <w:start w:val="207"/>
      <w:numFmt w:val="decimal"/>
      <w:lvlText w:val="%1"/>
      <w:lvlJc w:val="left"/>
      <w:pPr>
        <w:tabs>
          <w:tab w:val="num" w:pos="1650"/>
        </w:tabs>
        <w:ind w:left="1650" w:hanging="1650"/>
      </w:pPr>
      <w:rPr>
        <w:rFonts w:hint="default"/>
      </w:rPr>
    </w:lvl>
    <w:lvl w:ilvl="1">
      <w:start w:val="500"/>
      <w:numFmt w:val="decimal"/>
      <w:lvlText w:val="%1.%2"/>
      <w:lvlJc w:val="left"/>
      <w:pPr>
        <w:tabs>
          <w:tab w:val="num" w:pos="1650"/>
        </w:tabs>
        <w:ind w:left="1650" w:hanging="16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50"/>
        </w:tabs>
        <w:ind w:left="1650" w:hanging="16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50"/>
        </w:tabs>
        <w:ind w:left="1650" w:hanging="16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50"/>
        </w:tabs>
        <w:ind w:left="1650" w:hanging="16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50"/>
        </w:tabs>
        <w:ind w:left="1650" w:hanging="165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0"/>
        </w:tabs>
        <w:ind w:left="1650" w:hanging="165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Start w:val="0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E0E"/>
    <w:rsid w:val="000076D1"/>
    <w:rsid w:val="00024E6E"/>
    <w:rsid w:val="00045CD7"/>
    <w:rsid w:val="000E0D96"/>
    <w:rsid w:val="000E759C"/>
    <w:rsid w:val="001550FC"/>
    <w:rsid w:val="001E4B76"/>
    <w:rsid w:val="00267137"/>
    <w:rsid w:val="002C5E84"/>
    <w:rsid w:val="002E4158"/>
    <w:rsid w:val="00415CA4"/>
    <w:rsid w:val="00463400"/>
    <w:rsid w:val="0052062A"/>
    <w:rsid w:val="005879A5"/>
    <w:rsid w:val="005C1023"/>
    <w:rsid w:val="00606BF2"/>
    <w:rsid w:val="006830E7"/>
    <w:rsid w:val="00700BBD"/>
    <w:rsid w:val="00782D78"/>
    <w:rsid w:val="00876D2E"/>
    <w:rsid w:val="0088709E"/>
    <w:rsid w:val="00920494"/>
    <w:rsid w:val="009B1E0E"/>
    <w:rsid w:val="00A23CB7"/>
    <w:rsid w:val="00A57E6C"/>
    <w:rsid w:val="00A86AF6"/>
    <w:rsid w:val="00B0244B"/>
    <w:rsid w:val="00B3655F"/>
    <w:rsid w:val="00BA3E64"/>
    <w:rsid w:val="00BA46D5"/>
    <w:rsid w:val="00BF0005"/>
    <w:rsid w:val="00C01AAF"/>
    <w:rsid w:val="00C53804"/>
    <w:rsid w:val="00DF2D82"/>
    <w:rsid w:val="00F06D7C"/>
    <w:rsid w:val="00F22126"/>
    <w:rsid w:val="00F33424"/>
    <w:rsid w:val="00F63781"/>
    <w:rsid w:val="00F7385C"/>
    <w:rsid w:val="00F8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247C03E-C649-48F8-B9BA-73732774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1000"/>
      </w:tabs>
      <w:ind w:left="1000" w:hanging="1000"/>
    </w:pPr>
    <w:rPr>
      <w:rFonts w:ascii="Times New Roman" w:hAnsi="Times New Roman"/>
      <w:b/>
      <w:noProof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ind w:left="0" w:firstLine="0"/>
      <w:outlineLvl w:val="2"/>
    </w:pPr>
    <w:rPr>
      <w:b w:val="0"/>
    </w:rPr>
  </w:style>
  <w:style w:type="paragraph" w:styleId="Heading4">
    <w:name w:val="heading 4"/>
    <w:basedOn w:val="Normal"/>
    <w:next w:val="Normal"/>
    <w:qFormat/>
    <w:pPr>
      <w:tabs>
        <w:tab w:val="clear" w:pos="1000"/>
      </w:tabs>
      <w:ind w:left="360" w:firstLine="0"/>
      <w:outlineLvl w:val="3"/>
    </w:pPr>
    <w:rPr>
      <w:b w:val="0"/>
      <w:noProof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DFARS">
    <w:name w:val="DFARS"/>
    <w:basedOn w:val="Normal"/>
    <w:pPr>
      <w:tabs>
        <w:tab w:val="clear" w:pos="1000"/>
        <w:tab w:val="left" w:pos="360"/>
        <w:tab w:val="left" w:pos="810"/>
        <w:tab w:val="left" w:pos="1210"/>
        <w:tab w:val="left" w:pos="1656"/>
        <w:tab w:val="left" w:pos="2131"/>
        <w:tab w:val="left" w:pos="2520"/>
      </w:tabs>
      <w:spacing w:line="240" w:lineRule="exact"/>
      <w:ind w:left="0" w:firstLine="0"/>
    </w:pPr>
    <w:rPr>
      <w:rFonts w:ascii="Century Schoolbook" w:hAnsi="Century Schoolbook"/>
      <w:b w:val="0"/>
      <w:noProof w:val="0"/>
      <w:spacing w:val="-5"/>
      <w:kern w:val="20"/>
    </w:rPr>
  </w:style>
  <w:style w:type="character" w:customStyle="1" w:styleId="FooterChar">
    <w:name w:val="Footer Char"/>
    <w:basedOn w:val="DefaultParagraphFont"/>
    <w:link w:val="Footer"/>
    <w:uiPriority w:val="99"/>
    <w:rsid w:val="0052062A"/>
    <w:rPr>
      <w:rFonts w:ascii="Times New Roman" w:hAnsi="Times New Roman"/>
      <w:b/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2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862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</vt:lpstr>
    </vt:vector>
  </TitlesOfParts>
  <Company>DoD</Company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creator>OUSD(A&amp;T)</dc:creator>
  <cp:lastModifiedBy>befekae</cp:lastModifiedBy>
  <cp:revision>3</cp:revision>
  <cp:lastPrinted>2004-09-15T17:09:00Z</cp:lastPrinted>
  <dcterms:created xsi:type="dcterms:W3CDTF">2018-04-04T21:45:00Z</dcterms:created>
  <dcterms:modified xsi:type="dcterms:W3CDTF">2018-04-18T15:20:00Z</dcterms:modified>
</cp:coreProperties>
</file>