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0C" w:rsidRPr="00D157D3" w:rsidRDefault="0045170C" w:rsidP="00475BC3">
      <w:pPr>
        <w:pStyle w:val="DFARS"/>
        <w:tabs>
          <w:tab w:val="bar" w:pos="10080"/>
        </w:tabs>
        <w:spacing w:line="240" w:lineRule="auto"/>
        <w:jc w:val="center"/>
        <w:rPr>
          <w:rFonts w:ascii="Arial" w:hAnsi="Arial" w:cs="Arial"/>
          <w:i/>
          <w:szCs w:val="24"/>
        </w:rPr>
      </w:pPr>
      <w:bookmarkStart w:id="0" w:name="BM206_2"/>
      <w:bookmarkStart w:id="1" w:name="_GoBack"/>
      <w:bookmarkEnd w:id="1"/>
      <w:r w:rsidRPr="00D157D3">
        <w:rPr>
          <w:rFonts w:ascii="Arial" w:hAnsi="Arial" w:cs="Arial"/>
          <w:i/>
          <w:szCs w:val="24"/>
        </w:rPr>
        <w:t>(</w:t>
      </w:r>
      <w:r w:rsidR="000F2FCA">
        <w:rPr>
          <w:rFonts w:ascii="Arial" w:hAnsi="Arial" w:cs="Arial"/>
          <w:i/>
          <w:szCs w:val="24"/>
        </w:rPr>
        <w:t xml:space="preserve">Revised </w:t>
      </w:r>
      <w:r w:rsidR="00475BC3">
        <w:rPr>
          <w:rFonts w:ascii="Arial" w:hAnsi="Arial" w:cs="Arial"/>
          <w:i/>
          <w:szCs w:val="24"/>
        </w:rPr>
        <w:t>April 13, 2018</w:t>
      </w:r>
      <w:r w:rsidRPr="00D157D3">
        <w:rPr>
          <w:rFonts w:ascii="Arial" w:hAnsi="Arial" w:cs="Arial"/>
          <w:i/>
          <w:szCs w:val="24"/>
        </w:rPr>
        <w:t>)</w:t>
      </w:r>
    </w:p>
    <w:p w:rsidR="008D5946" w:rsidRPr="00D157D3" w:rsidRDefault="008D5946" w:rsidP="00475BC3">
      <w:pPr>
        <w:pStyle w:val="DFARS"/>
        <w:spacing w:line="240" w:lineRule="auto"/>
        <w:rPr>
          <w:rFonts w:ascii="Arial" w:hAnsi="Arial" w:cs="Arial"/>
          <w:b/>
          <w:szCs w:val="24"/>
        </w:rPr>
      </w:pPr>
    </w:p>
    <w:bookmarkEnd w:id="0"/>
    <w:p w:rsidR="00D157D3" w:rsidRPr="00D157D3" w:rsidRDefault="00D157D3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rPr>
          <w:rFonts w:ascii="Arial" w:hAnsi="Arial" w:cs="Arial"/>
          <w:spacing w:val="-5"/>
          <w:kern w:val="20"/>
        </w:rPr>
      </w:pPr>
      <w:r w:rsidRPr="00D157D3">
        <w:rPr>
          <w:rFonts w:ascii="Arial" w:hAnsi="Arial" w:cs="Arial"/>
          <w:spacing w:val="-5"/>
          <w:kern w:val="20"/>
        </w:rPr>
        <w:t>PGI 219.7—THE SMALL BUSINESS SUBCONTRACTING PROGRAM</w:t>
      </w:r>
    </w:p>
    <w:p w:rsidR="00D157D3" w:rsidRPr="00D157D3" w:rsidRDefault="00D157D3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  <w:tab w:val="bar" w:pos="10080"/>
        </w:tabs>
        <w:rPr>
          <w:rFonts w:ascii="Arial" w:hAnsi="Arial" w:cs="Arial"/>
          <w:spacing w:val="-5"/>
          <w:kern w:val="20"/>
        </w:rPr>
      </w:pPr>
    </w:p>
    <w:p w:rsidR="00B74A56" w:rsidRPr="008840FD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spacing w:val="-5"/>
          <w:kern w:val="20"/>
        </w:rPr>
      </w:pPr>
      <w:r w:rsidRPr="008840FD">
        <w:rPr>
          <w:rFonts w:ascii="Arial" w:hAnsi="Arial" w:cs="Arial"/>
          <w:spacing w:val="-5"/>
          <w:kern w:val="20"/>
        </w:rPr>
        <w:t xml:space="preserve">PGI </w:t>
      </w:r>
      <w:proofErr w:type="gramStart"/>
      <w:r w:rsidRPr="008840FD">
        <w:rPr>
          <w:rFonts w:ascii="Arial" w:hAnsi="Arial" w:cs="Arial"/>
          <w:spacing w:val="-5"/>
          <w:kern w:val="20"/>
        </w:rPr>
        <w:t>219.70</w:t>
      </w:r>
      <w:r>
        <w:rPr>
          <w:rFonts w:ascii="Arial" w:hAnsi="Arial" w:cs="Arial"/>
          <w:spacing w:val="-5"/>
          <w:kern w:val="20"/>
        </w:rPr>
        <w:t>5</w:t>
      </w:r>
      <w:r w:rsidRPr="008840FD">
        <w:rPr>
          <w:rFonts w:ascii="Arial" w:hAnsi="Arial" w:cs="Arial"/>
          <w:spacing w:val="-5"/>
          <w:kern w:val="20"/>
        </w:rPr>
        <w:t xml:space="preserve">  </w:t>
      </w:r>
      <w:r>
        <w:rPr>
          <w:rFonts w:ascii="Arial" w:hAnsi="Arial" w:cs="Arial"/>
          <w:spacing w:val="-5"/>
          <w:kern w:val="20"/>
        </w:rPr>
        <w:t>Responsibilities</w:t>
      </w:r>
      <w:proofErr w:type="gramEnd"/>
      <w:r>
        <w:rPr>
          <w:rFonts w:ascii="Arial" w:hAnsi="Arial" w:cs="Arial"/>
          <w:spacing w:val="-5"/>
          <w:kern w:val="20"/>
        </w:rPr>
        <w:t xml:space="preserve"> of the contracting officer under the subcontracting assistance program.</w:t>
      </w:r>
    </w:p>
    <w:p w:rsidR="00B74A56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spacing w:val="-5"/>
          <w:kern w:val="20"/>
        </w:rPr>
      </w:pPr>
    </w:p>
    <w:p w:rsidR="00B74A56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spacing w:val="-5"/>
          <w:kern w:val="20"/>
        </w:rPr>
      </w:pPr>
      <w:r>
        <w:rPr>
          <w:rFonts w:ascii="Arial" w:hAnsi="Arial" w:cs="Arial"/>
          <w:spacing w:val="-5"/>
          <w:kern w:val="20"/>
        </w:rPr>
        <w:t>PGI 219.705-</w:t>
      </w:r>
      <w:proofErr w:type="gramStart"/>
      <w:r>
        <w:rPr>
          <w:rFonts w:ascii="Arial" w:hAnsi="Arial" w:cs="Arial"/>
          <w:spacing w:val="-5"/>
          <w:kern w:val="20"/>
        </w:rPr>
        <w:t>4  Reviewing</w:t>
      </w:r>
      <w:proofErr w:type="gramEnd"/>
      <w:r>
        <w:rPr>
          <w:rFonts w:ascii="Arial" w:hAnsi="Arial" w:cs="Arial"/>
          <w:spacing w:val="-5"/>
          <w:kern w:val="20"/>
        </w:rPr>
        <w:t xml:space="preserve"> the subcontracting plan.</w:t>
      </w:r>
    </w:p>
    <w:p w:rsidR="00B74A56" w:rsidRPr="00B74A56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b w:val="0"/>
          <w:spacing w:val="-5"/>
          <w:kern w:val="20"/>
        </w:rPr>
      </w:pPr>
      <w:r w:rsidRPr="00B74A56">
        <w:rPr>
          <w:rFonts w:ascii="Arial" w:hAnsi="Arial" w:cs="Arial"/>
          <w:b w:val="0"/>
          <w:spacing w:val="-5"/>
          <w:kern w:val="20"/>
        </w:rPr>
        <w:t>When reviewing the subcontracting plan, contracting officers may use the document entitled “</w:t>
      </w:r>
      <w:proofErr w:type="gramStart"/>
      <w:r w:rsidRPr="00B74A56">
        <w:rPr>
          <w:rFonts w:ascii="Arial" w:hAnsi="Arial" w:cs="Arial"/>
          <w:b w:val="0"/>
          <w:spacing w:val="-5"/>
          <w:kern w:val="20"/>
        </w:rPr>
        <w:t>DoD</w:t>
      </w:r>
      <w:proofErr w:type="gramEnd"/>
      <w:r w:rsidRPr="00B74A56">
        <w:rPr>
          <w:rFonts w:ascii="Arial" w:hAnsi="Arial" w:cs="Arial"/>
          <w:b w:val="0"/>
          <w:spacing w:val="-5"/>
          <w:kern w:val="20"/>
        </w:rPr>
        <w:t xml:space="preserve"> Checklist for Reviewing Subcontracting Plans.”  The document is available at </w:t>
      </w:r>
      <w:hyperlink r:id="rId6" w:history="1">
        <w:r w:rsidRPr="00B74A56">
          <w:rPr>
            <w:rStyle w:val="Hyperlink"/>
            <w:rFonts w:ascii="Arial" w:hAnsi="Arial" w:cs="Arial"/>
            <w:b w:val="0"/>
            <w:szCs w:val="24"/>
          </w:rPr>
          <w:t>http://business.defense.gov/Acquisition/Subcontracting/</w:t>
        </w:r>
      </w:hyperlink>
      <w:r w:rsidRPr="00B74A56">
        <w:rPr>
          <w:rFonts w:ascii="Arial" w:hAnsi="Arial" w:cs="Arial"/>
          <w:b w:val="0"/>
          <w:spacing w:val="-5"/>
          <w:kern w:val="20"/>
        </w:rPr>
        <w:t>.</w:t>
      </w:r>
    </w:p>
    <w:p w:rsidR="00B74A56" w:rsidRPr="006B3287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spacing w:val="-5"/>
          <w:kern w:val="20"/>
        </w:rPr>
      </w:pPr>
    </w:p>
    <w:p w:rsidR="00B74A56" w:rsidRPr="006B3287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spacing w:val="-5"/>
          <w:kern w:val="20"/>
        </w:rPr>
      </w:pPr>
      <w:r w:rsidRPr="006B3287">
        <w:rPr>
          <w:rFonts w:ascii="Arial" w:hAnsi="Arial" w:cs="Arial"/>
          <w:spacing w:val="-5"/>
          <w:kern w:val="20"/>
        </w:rPr>
        <w:t>PGI 219.705-</w:t>
      </w:r>
      <w:proofErr w:type="gramStart"/>
      <w:r w:rsidRPr="006B3287">
        <w:rPr>
          <w:rFonts w:ascii="Arial" w:hAnsi="Arial" w:cs="Arial"/>
          <w:spacing w:val="-5"/>
          <w:kern w:val="20"/>
        </w:rPr>
        <w:t xml:space="preserve">6  </w:t>
      </w:r>
      <w:proofErr w:type="spellStart"/>
      <w:r w:rsidRPr="006B3287">
        <w:rPr>
          <w:rFonts w:ascii="Arial" w:hAnsi="Arial" w:cs="Arial"/>
          <w:spacing w:val="-5"/>
          <w:kern w:val="20"/>
        </w:rPr>
        <w:t>Postaward</w:t>
      </w:r>
      <w:proofErr w:type="spellEnd"/>
      <w:proofErr w:type="gramEnd"/>
      <w:r w:rsidRPr="006B3287">
        <w:rPr>
          <w:rFonts w:ascii="Arial" w:hAnsi="Arial" w:cs="Arial"/>
          <w:spacing w:val="-5"/>
          <w:kern w:val="20"/>
        </w:rPr>
        <w:t xml:space="preserve"> responsibilities of the contracting officer.</w:t>
      </w:r>
    </w:p>
    <w:p w:rsidR="00B74A56" w:rsidRPr="006B3287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spacing w:val="-5"/>
          <w:kern w:val="20"/>
        </w:rPr>
      </w:pPr>
    </w:p>
    <w:p w:rsidR="00B74A56" w:rsidRPr="00B74A56" w:rsidRDefault="00B74A56" w:rsidP="00475BC3">
      <w:pPr>
        <w:tabs>
          <w:tab w:val="left" w:pos="360"/>
          <w:tab w:val="left" w:pos="810"/>
          <w:tab w:val="left" w:pos="1210"/>
          <w:tab w:val="left" w:pos="1656"/>
          <w:tab w:val="left" w:pos="2131"/>
          <w:tab w:val="left" w:pos="2520"/>
        </w:tabs>
        <w:ind w:left="0" w:firstLine="0"/>
        <w:rPr>
          <w:rFonts w:ascii="Arial" w:hAnsi="Arial" w:cs="Arial"/>
          <w:b w:val="0"/>
          <w:spacing w:val="-5"/>
          <w:kern w:val="20"/>
        </w:rPr>
      </w:pPr>
      <w:r w:rsidRPr="00B74A56">
        <w:rPr>
          <w:rFonts w:ascii="Arial" w:hAnsi="Arial" w:cs="Arial"/>
          <w:b w:val="0"/>
          <w:spacing w:val="-5"/>
          <w:kern w:val="20"/>
        </w:rPr>
        <w:tab/>
        <w:t>(f)  When reviewing subcontracting reports, contracting officers may use the document entitled</w:t>
      </w:r>
      <w:r>
        <w:rPr>
          <w:rFonts w:ascii="Arial" w:hAnsi="Arial" w:cs="Arial"/>
          <w:b w:val="0"/>
          <w:spacing w:val="-5"/>
          <w:kern w:val="20"/>
        </w:rPr>
        <w:t xml:space="preserve"> “</w:t>
      </w:r>
      <w:r w:rsidRPr="00B74A56">
        <w:rPr>
          <w:rFonts w:ascii="Arial" w:hAnsi="Arial" w:cs="Arial"/>
          <w:b w:val="0"/>
          <w:spacing w:val="-5"/>
          <w:kern w:val="20"/>
        </w:rPr>
        <w:t xml:space="preserve">DoD Subcontracting Program—Business Rules and Processes for </w:t>
      </w:r>
      <w:r>
        <w:rPr>
          <w:rFonts w:ascii="Arial" w:hAnsi="Arial" w:cs="Arial"/>
          <w:b w:val="0"/>
          <w:spacing w:val="-5"/>
          <w:kern w:val="20"/>
        </w:rPr>
        <w:t xml:space="preserve">(1) </w:t>
      </w:r>
      <w:r w:rsidRPr="00B74A56">
        <w:rPr>
          <w:rFonts w:ascii="Arial" w:hAnsi="Arial" w:cs="Arial"/>
          <w:b w:val="0"/>
          <w:spacing w:val="-5"/>
          <w:kern w:val="20"/>
        </w:rPr>
        <w:t>Electronic Subcontracting Reporting System (</w:t>
      </w:r>
      <w:proofErr w:type="spellStart"/>
      <w:r w:rsidRPr="00B74A56">
        <w:rPr>
          <w:rFonts w:ascii="Arial" w:hAnsi="Arial" w:cs="Arial"/>
          <w:b w:val="0"/>
          <w:spacing w:val="-5"/>
          <w:kern w:val="20"/>
        </w:rPr>
        <w:t>eSRS</w:t>
      </w:r>
      <w:proofErr w:type="spellEnd"/>
      <w:r w:rsidRPr="00B74A56">
        <w:rPr>
          <w:rFonts w:ascii="Arial" w:hAnsi="Arial" w:cs="Arial"/>
          <w:b w:val="0"/>
          <w:spacing w:val="-5"/>
          <w:kern w:val="20"/>
        </w:rPr>
        <w:t xml:space="preserve">) </w:t>
      </w:r>
      <w:r>
        <w:rPr>
          <w:rFonts w:ascii="Arial" w:hAnsi="Arial" w:cs="Arial"/>
          <w:b w:val="0"/>
          <w:spacing w:val="-5"/>
          <w:kern w:val="20"/>
        </w:rPr>
        <w:t xml:space="preserve">and (2) </w:t>
      </w:r>
      <w:r w:rsidRPr="00B74A56">
        <w:rPr>
          <w:rFonts w:ascii="Arial" w:hAnsi="Arial" w:cs="Arial"/>
          <w:b w:val="0"/>
          <w:spacing w:val="-5"/>
          <w:kern w:val="20"/>
        </w:rPr>
        <w:t>Preparing and Reviewing Related Subcontract Reports.</w:t>
      </w:r>
      <w:r>
        <w:rPr>
          <w:rFonts w:ascii="Arial" w:hAnsi="Arial" w:cs="Arial"/>
          <w:b w:val="0"/>
          <w:spacing w:val="-5"/>
          <w:kern w:val="20"/>
        </w:rPr>
        <w:t>”</w:t>
      </w:r>
      <w:r w:rsidRPr="00B74A56">
        <w:rPr>
          <w:rFonts w:ascii="Arial" w:hAnsi="Arial" w:cs="Arial"/>
          <w:b w:val="0"/>
          <w:spacing w:val="-5"/>
          <w:kern w:val="20"/>
        </w:rPr>
        <w:t xml:space="preserve">  </w:t>
      </w:r>
      <w:r>
        <w:rPr>
          <w:rFonts w:ascii="Arial" w:hAnsi="Arial" w:cs="Arial"/>
          <w:b w:val="0"/>
          <w:spacing w:val="-5"/>
          <w:kern w:val="20"/>
        </w:rPr>
        <w:t>T</w:t>
      </w:r>
      <w:r w:rsidRPr="00B74A56">
        <w:rPr>
          <w:rFonts w:ascii="Arial" w:hAnsi="Arial" w:cs="Arial"/>
          <w:b w:val="0"/>
          <w:spacing w:val="-5"/>
          <w:kern w:val="20"/>
        </w:rPr>
        <w:t xml:space="preserve">he document is available at </w:t>
      </w:r>
      <w:hyperlink r:id="rId7" w:history="1">
        <w:r w:rsidRPr="00B74A56">
          <w:rPr>
            <w:rStyle w:val="Hyperlink"/>
            <w:rFonts w:ascii="Arial" w:hAnsi="Arial" w:cs="Arial"/>
            <w:b w:val="0"/>
            <w:szCs w:val="24"/>
          </w:rPr>
          <w:t>http://business.defense.gov/Acquisition/Subcontracting/</w:t>
        </w:r>
      </w:hyperlink>
      <w:r w:rsidRPr="00B74A56">
        <w:rPr>
          <w:rFonts w:ascii="Arial" w:hAnsi="Arial" w:cs="Arial"/>
          <w:b w:val="0"/>
          <w:spacing w:val="-5"/>
          <w:kern w:val="20"/>
        </w:rPr>
        <w:t>.</w:t>
      </w:r>
    </w:p>
    <w:p w:rsidR="00054FA9" w:rsidRPr="00D157D3" w:rsidRDefault="00054FA9" w:rsidP="00475BC3">
      <w:pPr>
        <w:pStyle w:val="DFARS"/>
        <w:spacing w:line="240" w:lineRule="auto"/>
        <w:rPr>
          <w:rFonts w:ascii="Arial" w:hAnsi="Arial" w:cs="Arial"/>
          <w:b/>
          <w:szCs w:val="24"/>
        </w:rPr>
      </w:pPr>
    </w:p>
    <w:sectPr w:rsidR="00054FA9" w:rsidRPr="00D157D3">
      <w:headerReference w:type="default" r:id="rId8"/>
      <w:footerReference w:type="default" r:id="rId9"/>
      <w:footnotePr>
        <w:numStart w:val="0"/>
      </w:footnotePr>
      <w:pgSz w:w="12240" w:h="15840" w:code="1"/>
      <w:pgMar w:top="720" w:right="1440" w:bottom="720" w:left="1440" w:header="634" w:footer="6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425" w:rsidRDefault="00330425">
      <w:r>
        <w:separator/>
      </w:r>
    </w:p>
  </w:endnote>
  <w:endnote w:type="continuationSeparator" w:id="0">
    <w:p w:rsidR="00330425" w:rsidRDefault="0033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D15" w:rsidRDefault="003C1D15">
    <w:pPr>
      <w:pStyle w:val="Footer"/>
      <w:ind w:left="0" w:firstLine="0"/>
      <w:rPr>
        <w:rFonts w:ascii="Century Schoolbook" w:hAnsi="Century Schoolbook"/>
        <w:sz w:val="20"/>
      </w:rPr>
    </w:pPr>
  </w:p>
  <w:p w:rsidR="003C1D15" w:rsidRDefault="003C1D15">
    <w:pPr>
      <w:pStyle w:val="Footer"/>
      <w:tabs>
        <w:tab w:val="clear" w:pos="8640"/>
      </w:tabs>
      <w:ind w:left="0" w:firstLine="0"/>
      <w:rPr>
        <w:rFonts w:ascii="Century Schoolbook" w:hAnsi="Century Schoolbook"/>
        <w:b w:val="0"/>
        <w:sz w:val="20"/>
      </w:rPr>
    </w:pPr>
  </w:p>
  <w:p w:rsidR="003C1D15" w:rsidRPr="00BC71C0" w:rsidRDefault="003C1D15">
    <w:pPr>
      <w:pStyle w:val="Footer"/>
      <w:pBdr>
        <w:top w:val="single" w:sz="6" w:space="1" w:color="auto"/>
      </w:pBdr>
      <w:tabs>
        <w:tab w:val="clear" w:pos="8640"/>
        <w:tab w:val="right" w:pos="9260"/>
      </w:tabs>
      <w:ind w:left="0" w:firstLine="0"/>
      <w:rPr>
        <w:rFonts w:ascii="Arial" w:hAnsi="Arial" w:cs="Arial"/>
        <w:sz w:val="22"/>
        <w:szCs w:val="22"/>
      </w:rPr>
    </w:pPr>
    <w:r w:rsidRPr="00BC71C0">
      <w:rPr>
        <w:rFonts w:ascii="Arial" w:hAnsi="Arial" w:cs="Arial"/>
        <w:sz w:val="22"/>
        <w:szCs w:val="22"/>
      </w:rPr>
      <w:t>2004 EDITION</w:t>
    </w:r>
    <w:r w:rsidRPr="00BC71C0">
      <w:rPr>
        <w:rFonts w:ascii="Arial" w:hAnsi="Arial" w:cs="Arial"/>
        <w:sz w:val="22"/>
        <w:szCs w:val="22"/>
      </w:rPr>
      <w:tab/>
    </w:r>
    <w:r w:rsidRPr="00BC71C0">
      <w:rPr>
        <w:rFonts w:ascii="Arial" w:hAnsi="Arial" w:cs="Arial"/>
        <w:sz w:val="22"/>
        <w:szCs w:val="22"/>
      </w:rPr>
      <w:tab/>
      <w:t>2</w:t>
    </w:r>
    <w:r>
      <w:rPr>
        <w:rFonts w:ascii="Arial" w:hAnsi="Arial" w:cs="Arial"/>
        <w:sz w:val="22"/>
        <w:szCs w:val="22"/>
      </w:rPr>
      <w:t>19</w:t>
    </w:r>
    <w:r w:rsidRPr="00BC71C0">
      <w:rPr>
        <w:rFonts w:ascii="Arial" w:hAnsi="Arial" w:cs="Arial"/>
        <w:sz w:val="22"/>
        <w:szCs w:val="22"/>
      </w:rPr>
      <w:t>.</w:t>
    </w:r>
    <w:r>
      <w:rPr>
        <w:rFonts w:ascii="Arial" w:hAnsi="Arial" w:cs="Arial"/>
        <w:sz w:val="22"/>
        <w:szCs w:val="22"/>
      </w:rPr>
      <w:t>7</w:t>
    </w:r>
    <w:r w:rsidRPr="00BC71C0">
      <w:rPr>
        <w:rFonts w:ascii="Arial" w:hAnsi="Arial" w:cs="Arial"/>
        <w:sz w:val="22"/>
        <w:szCs w:val="22"/>
      </w:rPr>
      <w:t>-</w:t>
    </w:r>
    <w:r w:rsidRPr="00BC71C0">
      <w:rPr>
        <w:rFonts w:ascii="Arial" w:hAnsi="Arial" w:cs="Arial"/>
        <w:sz w:val="22"/>
        <w:szCs w:val="22"/>
      </w:rPr>
      <w:pgNum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425" w:rsidRDefault="00330425">
      <w:r>
        <w:separator/>
      </w:r>
    </w:p>
  </w:footnote>
  <w:footnote w:type="continuationSeparator" w:id="0">
    <w:p w:rsidR="00330425" w:rsidRDefault="00330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D15" w:rsidRDefault="003C1D15" w:rsidP="003E6AA4">
    <w:pPr>
      <w:pStyle w:val="Header"/>
      <w:tabs>
        <w:tab w:val="clear" w:pos="8640"/>
        <w:tab w:val="left" w:pos="4590"/>
      </w:tabs>
      <w:ind w:left="0" w:firstLine="0"/>
      <w:jc w:val="center"/>
      <w:rPr>
        <w:rFonts w:ascii="Arial" w:hAnsi="Arial" w:cs="Arial"/>
        <w:sz w:val="28"/>
        <w:szCs w:val="28"/>
      </w:rPr>
    </w:pPr>
    <w:r w:rsidRPr="002B1BC7">
      <w:rPr>
        <w:rFonts w:ascii="Arial" w:hAnsi="Arial" w:cs="Arial"/>
        <w:sz w:val="28"/>
        <w:szCs w:val="28"/>
      </w:rPr>
      <w:t>DFARS Procedures, Guidance, and Information</w:t>
    </w:r>
  </w:p>
  <w:p w:rsidR="003C1D15" w:rsidRPr="002B1BC7" w:rsidRDefault="003C1D15" w:rsidP="003E6AA4">
    <w:pPr>
      <w:pStyle w:val="Header"/>
      <w:tabs>
        <w:tab w:val="clear" w:pos="8640"/>
        <w:tab w:val="left" w:pos="4590"/>
      </w:tabs>
      <w:ind w:left="0" w:firstLine="0"/>
      <w:jc w:val="center"/>
      <w:rPr>
        <w:rFonts w:ascii="Arial" w:hAnsi="Arial" w:cs="Arial"/>
        <w:sz w:val="28"/>
        <w:szCs w:val="28"/>
      </w:rPr>
    </w:pPr>
  </w:p>
  <w:p w:rsidR="003C1D15" w:rsidRPr="00BC71C0" w:rsidRDefault="003C1D15">
    <w:pPr>
      <w:pStyle w:val="Header"/>
      <w:pBdr>
        <w:bottom w:val="single" w:sz="6" w:space="1" w:color="auto"/>
      </w:pBdr>
      <w:tabs>
        <w:tab w:val="clear" w:pos="8640"/>
        <w:tab w:val="right" w:pos="9260"/>
      </w:tabs>
      <w:spacing w:after="20"/>
      <w:ind w:left="0" w:firstLine="0"/>
      <w:rPr>
        <w:rFonts w:ascii="Arial" w:hAnsi="Arial" w:cs="Arial"/>
        <w:szCs w:val="24"/>
      </w:rPr>
    </w:pPr>
    <w:r w:rsidRPr="00BC71C0">
      <w:rPr>
        <w:rFonts w:ascii="Arial" w:hAnsi="Arial" w:cs="Arial"/>
        <w:szCs w:val="24"/>
      </w:rPr>
      <w:t>P</w:t>
    </w:r>
    <w:r>
      <w:rPr>
        <w:rFonts w:ascii="Arial" w:hAnsi="Arial" w:cs="Arial"/>
        <w:szCs w:val="24"/>
      </w:rPr>
      <w:t>GI</w:t>
    </w:r>
    <w:r w:rsidRPr="00BC71C0">
      <w:rPr>
        <w:rFonts w:ascii="Arial" w:hAnsi="Arial" w:cs="Arial"/>
        <w:szCs w:val="24"/>
      </w:rPr>
      <w:t xml:space="preserve"> 2</w:t>
    </w:r>
    <w:r>
      <w:rPr>
        <w:rFonts w:ascii="Arial" w:hAnsi="Arial" w:cs="Arial"/>
        <w:szCs w:val="24"/>
      </w:rPr>
      <w:t>19</w:t>
    </w:r>
    <w:r w:rsidRPr="00BC71C0">
      <w:rPr>
        <w:rFonts w:ascii="Arial" w:hAnsi="Arial" w:cs="Arial"/>
        <w:szCs w:val="24"/>
      </w:rPr>
      <w:t>—</w:t>
    </w:r>
    <w:r>
      <w:rPr>
        <w:rFonts w:ascii="Arial" w:hAnsi="Arial" w:cs="Arial"/>
        <w:szCs w:val="24"/>
      </w:rPr>
      <w:t xml:space="preserve">Small Business Programs  </w:t>
    </w:r>
  </w:p>
  <w:p w:rsidR="003C1D15" w:rsidRDefault="003C1D15">
    <w:pPr>
      <w:pStyle w:val="Header"/>
      <w:tabs>
        <w:tab w:val="clear" w:pos="8640"/>
        <w:tab w:val="right" w:pos="9260"/>
      </w:tabs>
      <w:spacing w:before="20" w:line="20" w:lineRule="exact"/>
      <w:ind w:left="0" w:firstLine="0"/>
      <w:rPr>
        <w:rFonts w:ascii="Geneva" w:hAnsi="Geneva"/>
        <w:b w:val="0"/>
        <w:position w:val="6"/>
        <w:sz w:val="18"/>
      </w:rPr>
    </w:pPr>
  </w:p>
  <w:p w:rsidR="003C1D15" w:rsidRDefault="003C1D15">
    <w:pPr>
      <w:pStyle w:val="Header"/>
      <w:tabs>
        <w:tab w:val="clear" w:pos="8640"/>
        <w:tab w:val="right" w:pos="9260"/>
      </w:tabs>
      <w:ind w:left="0" w:firstLine="0"/>
      <w:rPr>
        <w:rFonts w:ascii="Century Schoolbook" w:hAnsi="Century Schoolbook"/>
        <w:b w:val="0"/>
        <w:sz w:val="20"/>
      </w:rPr>
    </w:pPr>
  </w:p>
  <w:p w:rsidR="003C1D15" w:rsidRDefault="003C1D15">
    <w:pPr>
      <w:pStyle w:val="Header"/>
      <w:ind w:left="0" w:firstLine="0"/>
      <w:rPr>
        <w:rFonts w:ascii="Century Schoolbook" w:hAnsi="Century Schoolbook"/>
        <w:b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0"/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E0E"/>
    <w:rsid w:val="000124A2"/>
    <w:rsid w:val="00054FA9"/>
    <w:rsid w:val="000800D3"/>
    <w:rsid w:val="00093FE9"/>
    <w:rsid w:val="000A69AC"/>
    <w:rsid w:val="000C5AC3"/>
    <w:rsid w:val="000F2FCA"/>
    <w:rsid w:val="001209E5"/>
    <w:rsid w:val="00140358"/>
    <w:rsid w:val="00151DC5"/>
    <w:rsid w:val="0018389B"/>
    <w:rsid w:val="001C12B3"/>
    <w:rsid w:val="001C7ABA"/>
    <w:rsid w:val="00265593"/>
    <w:rsid w:val="002872B0"/>
    <w:rsid w:val="002A485A"/>
    <w:rsid w:val="002B1BC7"/>
    <w:rsid w:val="002E6822"/>
    <w:rsid w:val="00325827"/>
    <w:rsid w:val="00330425"/>
    <w:rsid w:val="003427B7"/>
    <w:rsid w:val="00365140"/>
    <w:rsid w:val="0039187B"/>
    <w:rsid w:val="003C1D15"/>
    <w:rsid w:val="003C38E6"/>
    <w:rsid w:val="003E6AA4"/>
    <w:rsid w:val="0045170C"/>
    <w:rsid w:val="00471046"/>
    <w:rsid w:val="00475BC3"/>
    <w:rsid w:val="004F0087"/>
    <w:rsid w:val="004F2DDC"/>
    <w:rsid w:val="00521883"/>
    <w:rsid w:val="00537E9B"/>
    <w:rsid w:val="00576A3D"/>
    <w:rsid w:val="006019FE"/>
    <w:rsid w:val="006141E4"/>
    <w:rsid w:val="00665D43"/>
    <w:rsid w:val="00677A6A"/>
    <w:rsid w:val="006B5B64"/>
    <w:rsid w:val="006E0E0E"/>
    <w:rsid w:val="007A6773"/>
    <w:rsid w:val="008177CF"/>
    <w:rsid w:val="008464C8"/>
    <w:rsid w:val="00876A8F"/>
    <w:rsid w:val="008877E7"/>
    <w:rsid w:val="008B7538"/>
    <w:rsid w:val="008D1F57"/>
    <w:rsid w:val="008D5946"/>
    <w:rsid w:val="00961B31"/>
    <w:rsid w:val="009B0E80"/>
    <w:rsid w:val="00A0321F"/>
    <w:rsid w:val="00A1614F"/>
    <w:rsid w:val="00A61226"/>
    <w:rsid w:val="00AB3320"/>
    <w:rsid w:val="00AB4D31"/>
    <w:rsid w:val="00AB67C0"/>
    <w:rsid w:val="00B128EA"/>
    <w:rsid w:val="00B12E61"/>
    <w:rsid w:val="00B331CC"/>
    <w:rsid w:val="00B3494D"/>
    <w:rsid w:val="00B61AB4"/>
    <w:rsid w:val="00B6408F"/>
    <w:rsid w:val="00B74A56"/>
    <w:rsid w:val="00B96227"/>
    <w:rsid w:val="00BA1CB4"/>
    <w:rsid w:val="00BA5B3F"/>
    <w:rsid w:val="00BC71C0"/>
    <w:rsid w:val="00BD2DBF"/>
    <w:rsid w:val="00C12081"/>
    <w:rsid w:val="00CA7581"/>
    <w:rsid w:val="00CC5653"/>
    <w:rsid w:val="00D0563B"/>
    <w:rsid w:val="00D157D3"/>
    <w:rsid w:val="00D15D03"/>
    <w:rsid w:val="00DA35B0"/>
    <w:rsid w:val="00DD1984"/>
    <w:rsid w:val="00DD79D8"/>
    <w:rsid w:val="00DE545A"/>
    <w:rsid w:val="00DF458B"/>
    <w:rsid w:val="00E277D5"/>
    <w:rsid w:val="00E3448C"/>
    <w:rsid w:val="00E90F26"/>
    <w:rsid w:val="00EA3AB7"/>
    <w:rsid w:val="00EC754B"/>
    <w:rsid w:val="00ED087B"/>
    <w:rsid w:val="00ED2BCA"/>
    <w:rsid w:val="00EE3BF7"/>
    <w:rsid w:val="00F3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B9D7A9-802F-4793-BA17-EF276691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000"/>
      </w:tabs>
      <w:ind w:left="1000" w:hanging="1000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ind w:left="0" w:firstLine="0"/>
      <w:outlineLvl w:val="2"/>
    </w:pPr>
    <w:rPr>
      <w:b w:val="0"/>
    </w:rPr>
  </w:style>
  <w:style w:type="paragraph" w:styleId="Heading4">
    <w:name w:val="heading 4"/>
    <w:basedOn w:val="Normal"/>
    <w:next w:val="Normal"/>
    <w:qFormat/>
    <w:pPr>
      <w:tabs>
        <w:tab w:val="clear" w:pos="1000"/>
      </w:tabs>
      <w:ind w:left="360" w:firstLine="0"/>
      <w:outlineLvl w:val="3"/>
    </w:pPr>
    <w:rPr>
      <w:b w:val="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DFARS">
    <w:name w:val="DFARS"/>
    <w:basedOn w:val="Normal"/>
    <w:pPr>
      <w:tabs>
        <w:tab w:val="clear" w:pos="1000"/>
        <w:tab w:val="left" w:pos="360"/>
        <w:tab w:val="left" w:pos="810"/>
        <w:tab w:val="left" w:pos="1210"/>
        <w:tab w:val="left" w:pos="1656"/>
        <w:tab w:val="left" w:pos="2131"/>
        <w:tab w:val="left" w:pos="2520"/>
      </w:tabs>
      <w:spacing w:line="240" w:lineRule="exact"/>
      <w:ind w:left="0" w:firstLine="0"/>
    </w:pPr>
    <w:rPr>
      <w:rFonts w:ascii="Century Schoolbook" w:hAnsi="Century Schoolbook"/>
      <w:b w:val="0"/>
      <w:spacing w:val="-5"/>
      <w:kern w:val="20"/>
    </w:rPr>
  </w:style>
  <w:style w:type="paragraph" w:styleId="BalloonText">
    <w:name w:val="Balloon Text"/>
    <w:basedOn w:val="Normal"/>
    <w:semiHidden/>
    <w:rsid w:val="00E90F2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74A56"/>
    <w:rPr>
      <w:color w:val="3366CC"/>
      <w:u w:val="single"/>
    </w:rPr>
  </w:style>
  <w:style w:type="character" w:styleId="FollowedHyperlink">
    <w:name w:val="FollowedHyperlink"/>
    <w:basedOn w:val="DefaultParagraphFont"/>
    <w:rsid w:val="00B74A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usiness.defense.gov/Acquisition/Subcontractin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usiness.defense.gov/Acquisition/Subcontracting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SUBPART 201.3—AGENCY ACQUISITION REGULATIONS</vt:lpstr>
    </vt:vector>
  </TitlesOfParts>
  <Company>DoD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SUBPART 201.3—AGENCY ACQUISITION REGULATIONS</dc:title>
  <dc:subject/>
  <dc:creator>OUSD(A&amp;T)</dc:creator>
  <cp:keywords/>
  <dc:description/>
  <cp:lastModifiedBy>overstme</cp:lastModifiedBy>
  <cp:revision>2</cp:revision>
  <cp:lastPrinted>2006-08-07T20:49:00Z</cp:lastPrinted>
  <dcterms:created xsi:type="dcterms:W3CDTF">2018-04-05T19:24:00Z</dcterms:created>
  <dcterms:modified xsi:type="dcterms:W3CDTF">2018-04-05T19:24:00Z</dcterms:modified>
</cp:coreProperties>
</file>