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67B" w:rsidRDefault="00F3067B" w:rsidP="00734F77">
      <w:pPr>
        <w:pStyle w:val="NormalWeb"/>
        <w:spacing w:before="0" w:beforeAutospacing="0" w:after="0" w:afterAutospacing="0"/>
        <w:ind w:right="72"/>
        <w:jc w:val="center"/>
        <w:rPr>
          <w:sz w:val="22"/>
          <w:szCs w:val="22"/>
        </w:rPr>
      </w:pPr>
      <w:bookmarkStart w:id="0" w:name="ApACh3"/>
      <w:r>
        <w:rPr>
          <w:b/>
          <w:bCs/>
          <w:sz w:val="28"/>
          <w:szCs w:val="22"/>
        </w:rPr>
        <w:t>APPENDIX 3-A</w:t>
      </w:r>
      <w:bookmarkEnd w:id="0"/>
      <w:r w:rsidR="00A26D26">
        <w:rPr>
          <w:b/>
          <w:bCs/>
          <w:sz w:val="28"/>
          <w:szCs w:val="22"/>
        </w:rPr>
        <w:t xml:space="preserve"> </w:t>
      </w:r>
      <w:r w:rsidR="00734F77">
        <w:rPr>
          <w:b/>
          <w:bCs/>
          <w:sz w:val="28"/>
          <w:szCs w:val="22"/>
        </w:rPr>
        <w:br/>
      </w:r>
      <w:r>
        <w:rPr>
          <w:b/>
          <w:bCs/>
          <w:sz w:val="28"/>
          <w:szCs w:val="22"/>
        </w:rPr>
        <w:t>Sample Clause for Saber Economic Price Adjustment (EPA)</w:t>
      </w:r>
    </w:p>
    <w:p w:rsidR="00F3067B" w:rsidRDefault="00F3067B">
      <w:pPr>
        <w:pStyle w:val="NormalWeb"/>
        <w:spacing w:before="0" w:beforeAutospacing="0" w:after="0" w:afterAutospacing="0"/>
        <w:ind w:right="72"/>
        <w:rPr>
          <w:sz w:val="22"/>
          <w:szCs w:val="22"/>
        </w:rPr>
      </w:pPr>
    </w:p>
    <w:p w:rsidR="00F3067B" w:rsidRDefault="00F3067B">
      <w:pPr>
        <w:pStyle w:val="NormalWeb"/>
        <w:spacing w:before="0" w:beforeAutospacing="0" w:after="0" w:afterAutospacing="0"/>
        <w:ind w:right="72"/>
        <w:rPr>
          <w:sz w:val="22"/>
          <w:szCs w:val="22"/>
        </w:rPr>
      </w:pPr>
    </w:p>
    <w:p w:rsidR="00F3067B" w:rsidRDefault="00F3067B">
      <w:pPr>
        <w:pStyle w:val="NormalWeb"/>
        <w:spacing w:before="0" w:beforeAutospacing="0" w:after="0" w:afterAutospacing="0"/>
        <w:ind w:right="72"/>
        <w:rPr>
          <w:sz w:val="22"/>
          <w:szCs w:val="22"/>
        </w:rPr>
      </w:pPr>
      <w:r>
        <w:rPr>
          <w:sz w:val="22"/>
          <w:szCs w:val="22"/>
        </w:rPr>
        <w:t>(a) Adjustments to coefficient(s) for SABER options occur annually to recognize variations in labor, equipment, and material costs as stated below.</w:t>
      </w:r>
    </w:p>
    <w:p w:rsidR="00F3067B" w:rsidRDefault="00F3067B">
      <w:pPr>
        <w:pStyle w:val="NormalWeb"/>
        <w:spacing w:before="0" w:beforeAutospacing="0" w:after="0" w:afterAutospacing="0"/>
        <w:ind w:right="72"/>
        <w:rPr>
          <w:sz w:val="22"/>
          <w:szCs w:val="22"/>
        </w:rPr>
      </w:pPr>
    </w:p>
    <w:p w:rsidR="00F3067B" w:rsidRDefault="00F3067B">
      <w:pPr>
        <w:pStyle w:val="NormalWeb"/>
        <w:spacing w:before="0" w:beforeAutospacing="0" w:after="0" w:afterAutospacing="0"/>
        <w:ind w:right="72"/>
        <w:rPr>
          <w:sz w:val="22"/>
          <w:szCs w:val="22"/>
        </w:rPr>
      </w:pPr>
      <w:r>
        <w:rPr>
          <w:sz w:val="22"/>
          <w:szCs w:val="22"/>
        </w:rPr>
        <w:t>(b) The Market Trends Construction Cost Index (CCI) for the city of [</w:t>
      </w:r>
      <w:r>
        <w:rPr>
          <w:i/>
          <w:iCs/>
          <w:sz w:val="22"/>
          <w:szCs w:val="22"/>
          <w:u w:val="single"/>
        </w:rPr>
        <w:t>insert where the work is to be performed</w:t>
      </w:r>
      <w:r>
        <w:rPr>
          <w:sz w:val="22"/>
          <w:szCs w:val="22"/>
        </w:rPr>
        <w:t>] as published in the McGraw-Hill publication “</w:t>
      </w:r>
      <w:hyperlink r:id="rId6" w:tgtFrame="_blank" w:history="1">
        <w:r>
          <w:rPr>
            <w:rStyle w:val="Hyperlink"/>
            <w:sz w:val="22"/>
            <w:szCs w:val="22"/>
          </w:rPr>
          <w:t>Engi</w:t>
        </w:r>
        <w:r>
          <w:rPr>
            <w:rStyle w:val="Hyperlink"/>
            <w:sz w:val="22"/>
            <w:szCs w:val="22"/>
          </w:rPr>
          <w:t>n</w:t>
        </w:r>
        <w:r>
          <w:rPr>
            <w:rStyle w:val="Hyperlink"/>
            <w:sz w:val="22"/>
            <w:szCs w:val="22"/>
          </w:rPr>
          <w:t>e</w:t>
        </w:r>
        <w:r>
          <w:rPr>
            <w:rStyle w:val="Hyperlink"/>
            <w:sz w:val="22"/>
            <w:szCs w:val="22"/>
          </w:rPr>
          <w:t>e</w:t>
        </w:r>
        <w:r>
          <w:rPr>
            <w:rStyle w:val="Hyperlink"/>
            <w:sz w:val="22"/>
            <w:szCs w:val="22"/>
          </w:rPr>
          <w:t>ring Ne</w:t>
        </w:r>
        <w:r>
          <w:rPr>
            <w:rStyle w:val="Hyperlink"/>
            <w:sz w:val="22"/>
            <w:szCs w:val="22"/>
          </w:rPr>
          <w:t>w</w:t>
        </w:r>
        <w:r>
          <w:rPr>
            <w:rStyle w:val="Hyperlink"/>
            <w:sz w:val="22"/>
            <w:szCs w:val="22"/>
          </w:rPr>
          <w:t>s Re</w:t>
        </w:r>
        <w:r>
          <w:rPr>
            <w:rStyle w:val="Hyperlink"/>
            <w:sz w:val="22"/>
            <w:szCs w:val="22"/>
          </w:rPr>
          <w:t>c</w:t>
        </w:r>
        <w:r>
          <w:rPr>
            <w:rStyle w:val="Hyperlink"/>
            <w:sz w:val="22"/>
            <w:szCs w:val="22"/>
          </w:rPr>
          <w:t>ord (ENR)</w:t>
        </w:r>
      </w:hyperlink>
      <w:bookmarkStart w:id="1" w:name="P182_16554"/>
      <w:bookmarkEnd w:id="1"/>
      <w:r>
        <w:rPr>
          <w:sz w:val="22"/>
          <w:szCs w:val="22"/>
        </w:rPr>
        <w:t>” will be used to determine adjustments to the contract coefficients for options under this contract. To determine the amount of adjustment, the contracting officer calculates the change in the index appearing in the issue of ENR published during the month before the effective date of the option from [</w:t>
      </w:r>
      <w:r>
        <w:rPr>
          <w:i/>
          <w:iCs/>
          <w:sz w:val="22"/>
          <w:szCs w:val="22"/>
          <w:u w:val="single"/>
        </w:rPr>
        <w:t>the contracting officer enters the most recently published index at the time of initial contract award</w:t>
      </w:r>
      <w:r>
        <w:rPr>
          <w:sz w:val="22"/>
          <w:szCs w:val="22"/>
        </w:rPr>
        <w:t>]. Eighty percent of this variation applies to [</w:t>
      </w:r>
      <w:r>
        <w:rPr>
          <w:i/>
          <w:iCs/>
          <w:sz w:val="22"/>
          <w:szCs w:val="22"/>
          <w:u w:val="single"/>
        </w:rPr>
        <w:t xml:space="preserve">the contracting officer enters the coefficient for the initial period of the </w:t>
      </w:r>
      <w:r>
        <w:rPr>
          <w:i/>
          <w:iCs/>
          <w:sz w:val="22"/>
          <w:szCs w:val="22"/>
          <w:u w:val="single"/>
        </w:rPr>
        <w:t>contract</w:t>
      </w:r>
      <w:r>
        <w:rPr>
          <w:sz w:val="22"/>
          <w:szCs w:val="22"/>
        </w:rPr>
        <w:t>]. If the publication of the index should be discontinued, the parties to the contract will negotiate a replacement index or new contract provision. If a replacement index or contract provision cannot be agreed upon, the contracting officer may unilaterally determine the contract adjustment method, and the contractor may dispute the determination under the Disputes Clause. Adjustments to option year contract coefficients must be determined in accordance with the following formulae:</w:t>
      </w:r>
    </w:p>
    <w:p w:rsidR="00F3067B" w:rsidRDefault="00F3067B">
      <w:pPr>
        <w:pStyle w:val="NormalWeb"/>
        <w:spacing w:before="0" w:beforeAutospacing="0" w:after="0" w:afterAutospacing="0"/>
        <w:ind w:right="66"/>
        <w:rPr>
          <w:sz w:val="22"/>
          <w:szCs w:val="22"/>
        </w:rPr>
      </w:pPr>
    </w:p>
    <w:p w:rsidR="00F3067B" w:rsidRDefault="00F3067B">
      <w:pPr>
        <w:pStyle w:val="NormalWeb"/>
        <w:spacing w:before="0" w:beforeAutospacing="0" w:after="0" w:afterAutospacing="0"/>
        <w:ind w:left="900" w:right="66" w:hanging="540"/>
        <w:rPr>
          <w:sz w:val="22"/>
          <w:szCs w:val="22"/>
        </w:rPr>
      </w:pPr>
      <w:r>
        <w:rPr>
          <w:sz w:val="22"/>
          <w:szCs w:val="22"/>
        </w:rPr>
        <w:t xml:space="preserve">(1) To calculate the new coefficient use: </w:t>
      </w:r>
      <w:r>
        <w:rPr>
          <w:sz w:val="22"/>
          <w:szCs w:val="22"/>
        </w:rPr>
        <w:br/>
        <w:t>C = C</w:t>
      </w:r>
      <w:r>
        <w:rPr>
          <w:sz w:val="22"/>
          <w:szCs w:val="22"/>
          <w:vertAlign w:val="subscript"/>
        </w:rPr>
        <w:t>i</w:t>
      </w:r>
      <w:r>
        <w:rPr>
          <w:sz w:val="22"/>
          <w:szCs w:val="22"/>
        </w:rPr>
        <w:t xml:space="preserve"> * f </w:t>
      </w:r>
      <w:r>
        <w:rPr>
          <w:sz w:val="22"/>
          <w:szCs w:val="22"/>
        </w:rPr>
        <w:br/>
        <w:t xml:space="preserve">Where: </w:t>
      </w:r>
      <w:r>
        <w:rPr>
          <w:sz w:val="22"/>
          <w:szCs w:val="22"/>
        </w:rPr>
        <w:br/>
        <w:t xml:space="preserve">C = New Coefficient; </w:t>
      </w:r>
      <w:r>
        <w:rPr>
          <w:sz w:val="22"/>
          <w:szCs w:val="22"/>
        </w:rPr>
        <w:br/>
        <w:t xml:space="preserve">f = Adjustment Factor; and </w:t>
      </w:r>
      <w:r>
        <w:rPr>
          <w:sz w:val="22"/>
          <w:szCs w:val="22"/>
        </w:rPr>
        <w:br/>
        <w:t>C</w:t>
      </w:r>
      <w:r>
        <w:rPr>
          <w:sz w:val="22"/>
          <w:szCs w:val="22"/>
          <w:vertAlign w:val="subscript"/>
        </w:rPr>
        <w:t>i</w:t>
      </w:r>
      <w:r>
        <w:rPr>
          <w:sz w:val="22"/>
          <w:szCs w:val="22"/>
        </w:rPr>
        <w:t xml:space="preserve"> = Contract pricing coefficient at contract award.</w:t>
      </w:r>
    </w:p>
    <w:p w:rsidR="00F3067B" w:rsidRDefault="00F3067B">
      <w:pPr>
        <w:pStyle w:val="NormalWeb"/>
        <w:spacing w:before="0" w:beforeAutospacing="0" w:after="0" w:afterAutospacing="0"/>
        <w:ind w:right="66" w:firstLine="360"/>
        <w:rPr>
          <w:sz w:val="22"/>
          <w:szCs w:val="22"/>
        </w:rPr>
      </w:pPr>
    </w:p>
    <w:p w:rsidR="00F3067B" w:rsidRDefault="00F3067B">
      <w:pPr>
        <w:pStyle w:val="NormalWeb"/>
        <w:spacing w:before="0" w:beforeAutospacing="0" w:after="0" w:afterAutospacing="0"/>
        <w:ind w:left="900" w:right="66" w:hanging="540"/>
        <w:rPr>
          <w:sz w:val="22"/>
          <w:szCs w:val="22"/>
        </w:rPr>
      </w:pPr>
      <w:r>
        <w:rPr>
          <w:sz w:val="22"/>
          <w:szCs w:val="22"/>
        </w:rPr>
        <w:t xml:space="preserve">(2) To calculate the Adjustment Factor use: </w:t>
      </w:r>
      <w:r>
        <w:rPr>
          <w:sz w:val="22"/>
          <w:szCs w:val="22"/>
        </w:rPr>
        <w:br/>
        <w:t>f = ((CCI</w:t>
      </w:r>
      <w:r>
        <w:rPr>
          <w:sz w:val="22"/>
          <w:szCs w:val="22"/>
          <w:vertAlign w:val="subscript"/>
        </w:rPr>
        <w:t>c</w:t>
      </w:r>
      <w:r>
        <w:rPr>
          <w:sz w:val="22"/>
          <w:szCs w:val="22"/>
        </w:rPr>
        <w:t xml:space="preserve"> - CCI</w:t>
      </w:r>
      <w:r>
        <w:rPr>
          <w:sz w:val="22"/>
          <w:szCs w:val="22"/>
          <w:vertAlign w:val="subscript"/>
        </w:rPr>
        <w:t>i</w:t>
      </w:r>
      <w:r>
        <w:rPr>
          <w:sz w:val="22"/>
          <w:szCs w:val="22"/>
        </w:rPr>
        <w:t>) / CCI</w:t>
      </w:r>
      <w:r>
        <w:rPr>
          <w:sz w:val="22"/>
          <w:szCs w:val="22"/>
          <w:vertAlign w:val="subscript"/>
        </w:rPr>
        <w:t>i</w:t>
      </w:r>
      <w:r>
        <w:rPr>
          <w:sz w:val="22"/>
          <w:szCs w:val="22"/>
        </w:rPr>
        <w:t xml:space="preserve">) * 80% + 1 </w:t>
      </w:r>
      <w:r>
        <w:rPr>
          <w:sz w:val="22"/>
          <w:szCs w:val="22"/>
        </w:rPr>
        <w:br/>
        <w:t xml:space="preserve">Where: </w:t>
      </w:r>
      <w:r>
        <w:rPr>
          <w:sz w:val="22"/>
          <w:szCs w:val="22"/>
        </w:rPr>
        <w:br/>
        <w:t>CCI</w:t>
      </w:r>
      <w:r>
        <w:rPr>
          <w:sz w:val="22"/>
          <w:szCs w:val="22"/>
          <w:vertAlign w:val="subscript"/>
        </w:rPr>
        <w:t>c</w:t>
      </w:r>
      <w:r>
        <w:rPr>
          <w:sz w:val="22"/>
          <w:szCs w:val="22"/>
        </w:rPr>
        <w:t xml:space="preserve"> = the ENR index for the option; and </w:t>
      </w:r>
      <w:r>
        <w:rPr>
          <w:sz w:val="22"/>
          <w:szCs w:val="22"/>
        </w:rPr>
        <w:br/>
        <w:t>CCI</w:t>
      </w:r>
      <w:r>
        <w:rPr>
          <w:sz w:val="22"/>
          <w:szCs w:val="22"/>
          <w:vertAlign w:val="subscript"/>
        </w:rPr>
        <w:t>I</w:t>
      </w:r>
      <w:r>
        <w:rPr>
          <w:sz w:val="22"/>
          <w:szCs w:val="22"/>
        </w:rPr>
        <w:t xml:space="preserve"> = the ENR index for the initial contract award.</w:t>
      </w:r>
    </w:p>
    <w:p w:rsidR="00F3067B" w:rsidRDefault="00F3067B">
      <w:pPr>
        <w:pStyle w:val="NormalWeb"/>
        <w:spacing w:before="0" w:beforeAutospacing="0" w:after="0" w:afterAutospacing="0"/>
        <w:ind w:right="72"/>
        <w:rPr>
          <w:sz w:val="22"/>
          <w:szCs w:val="22"/>
        </w:rPr>
      </w:pPr>
    </w:p>
    <w:p w:rsidR="00F3067B" w:rsidRDefault="00F3067B">
      <w:pPr>
        <w:pStyle w:val="NormalWeb"/>
        <w:spacing w:before="0" w:beforeAutospacing="0" w:after="0" w:afterAutospacing="0"/>
        <w:ind w:right="72"/>
        <w:rPr>
          <w:sz w:val="22"/>
          <w:szCs w:val="22"/>
        </w:rPr>
      </w:pPr>
      <w:r>
        <w:rPr>
          <w:sz w:val="22"/>
          <w:szCs w:val="22"/>
        </w:rPr>
        <w:t>(c) The basis of adjustments for second and subsequent option years is the contract coefficient for the initial contract period.</w:t>
      </w:r>
    </w:p>
    <w:p w:rsidR="00F3067B" w:rsidRDefault="00F3067B">
      <w:pPr>
        <w:pStyle w:val="NormalWeb"/>
        <w:spacing w:before="0" w:beforeAutospacing="0" w:after="0" w:afterAutospacing="0"/>
        <w:ind w:right="66"/>
        <w:rPr>
          <w:b/>
          <w:bCs/>
          <w:sz w:val="22"/>
          <w:szCs w:val="22"/>
        </w:rPr>
      </w:pPr>
    </w:p>
    <w:p w:rsidR="00F3067B" w:rsidRDefault="00F3067B">
      <w:pPr>
        <w:pStyle w:val="NormalWeb"/>
        <w:spacing w:before="0" w:beforeAutospacing="0" w:after="0" w:afterAutospacing="0"/>
        <w:ind w:right="66"/>
        <w:rPr>
          <w:sz w:val="22"/>
          <w:szCs w:val="22"/>
        </w:rPr>
      </w:pPr>
      <w:r>
        <w:rPr>
          <w:b/>
          <w:bCs/>
          <w:sz w:val="22"/>
          <w:szCs w:val="22"/>
        </w:rPr>
        <w:t>EPA Coefficient-Index Matrix</w:t>
      </w:r>
    </w:p>
    <w:p w:rsidR="00F3067B" w:rsidRDefault="00F3067B">
      <w:pPr>
        <w:pStyle w:val="NormalWeb"/>
        <w:spacing w:before="0" w:beforeAutospacing="0" w:after="0" w:afterAutospacing="0"/>
        <w:ind w:right="66"/>
        <w:rPr>
          <w:b/>
          <w:bCs/>
          <w:sz w:val="22"/>
          <w:szCs w:val="22"/>
          <w:u w:val="single"/>
        </w:rPr>
      </w:pPr>
    </w:p>
    <w:p w:rsidR="00F3067B" w:rsidRDefault="00F3067B">
      <w:pPr>
        <w:pStyle w:val="NormalWeb"/>
        <w:spacing w:before="0" w:beforeAutospacing="0" w:after="0" w:afterAutospacing="0"/>
        <w:ind w:right="72"/>
        <w:rPr>
          <w:sz w:val="22"/>
          <w:szCs w:val="22"/>
        </w:rPr>
      </w:pPr>
      <w:r>
        <w:rPr>
          <w:b/>
          <w:bCs/>
          <w:sz w:val="22"/>
          <w:szCs w:val="22"/>
          <w:u w:val="single"/>
        </w:rPr>
        <w:t>Action ENR Index</w:t>
      </w:r>
      <w:r>
        <w:rPr>
          <w:sz w:val="22"/>
          <w:szCs w:val="22"/>
          <w:u w:val="single"/>
        </w:rPr>
        <w:t xml:space="preserve"> </w:t>
      </w:r>
      <w:r>
        <w:rPr>
          <w:b/>
          <w:bCs/>
          <w:sz w:val="22"/>
          <w:szCs w:val="22"/>
          <w:u w:val="single"/>
        </w:rPr>
        <w:t>Adjustment Factor Coefficient</w:t>
      </w:r>
      <w:r>
        <w:rPr>
          <w:sz w:val="22"/>
          <w:szCs w:val="22"/>
        </w:rPr>
        <w:t xml:space="preserve"> </w:t>
      </w:r>
      <w:r>
        <w:rPr>
          <w:sz w:val="22"/>
          <w:szCs w:val="22"/>
        </w:rPr>
        <w:br/>
      </w:r>
    </w:p>
    <w:p w:rsidR="00F3067B" w:rsidRDefault="00F3067B">
      <w:pPr>
        <w:pStyle w:val="NormalWeb"/>
        <w:spacing w:before="0" w:beforeAutospacing="0" w:after="0" w:afterAutospacing="0"/>
        <w:ind w:left="360" w:right="72"/>
        <w:rPr>
          <w:sz w:val="22"/>
          <w:szCs w:val="22"/>
        </w:rPr>
      </w:pPr>
      <w:r>
        <w:rPr>
          <w:sz w:val="22"/>
          <w:szCs w:val="22"/>
        </w:rPr>
        <w:t xml:space="preserve">Contract Award 110.0 N/A 1.03 </w:t>
      </w:r>
      <w:r>
        <w:rPr>
          <w:sz w:val="22"/>
          <w:szCs w:val="22"/>
        </w:rPr>
        <w:br/>
        <w:t xml:space="preserve">Option 1 115.4 1.039 1.07 </w:t>
      </w:r>
      <w:r>
        <w:rPr>
          <w:sz w:val="22"/>
          <w:szCs w:val="22"/>
        </w:rPr>
        <w:br/>
        <w:t xml:space="preserve">Option 2 130.2 1.147 1.18 </w:t>
      </w:r>
      <w:r>
        <w:rPr>
          <w:sz w:val="22"/>
          <w:szCs w:val="22"/>
        </w:rPr>
        <w:br/>
        <w:t xml:space="preserve">Option 3 125.1 1.110 1.14 </w:t>
      </w:r>
      <w:r>
        <w:rPr>
          <w:sz w:val="22"/>
          <w:szCs w:val="22"/>
        </w:rPr>
        <w:br/>
        <w:t>Option 4 100.0 .927 .96</w:t>
      </w:r>
    </w:p>
    <w:p w:rsidR="00F3067B" w:rsidRDefault="00F3067B">
      <w:pPr>
        <w:pStyle w:val="NormalWeb"/>
        <w:spacing w:before="0" w:beforeAutospacing="0" w:after="0" w:afterAutospacing="0"/>
        <w:ind w:right="66"/>
        <w:rPr>
          <w:sz w:val="22"/>
          <w:szCs w:val="22"/>
        </w:rPr>
      </w:pPr>
    </w:p>
    <w:p w:rsidR="00F3067B" w:rsidRDefault="00F3067B">
      <w:pPr>
        <w:pStyle w:val="NormalWeb"/>
        <w:spacing w:before="0" w:beforeAutospacing="0" w:after="0" w:afterAutospacing="0"/>
        <w:ind w:right="66"/>
        <w:rPr>
          <w:sz w:val="22"/>
          <w:szCs w:val="22"/>
        </w:rPr>
      </w:pPr>
      <w:r>
        <w:rPr>
          <w:sz w:val="22"/>
          <w:szCs w:val="22"/>
        </w:rPr>
        <w:t>NOTE: Round calculation results as done in this example.</w:t>
      </w:r>
    </w:p>
    <w:p w:rsidR="00F3067B" w:rsidRDefault="00F3067B">
      <w:pPr>
        <w:pStyle w:val="NormalWeb"/>
        <w:spacing w:before="0" w:beforeAutospacing="0" w:after="0" w:afterAutospacing="0"/>
        <w:ind w:right="66"/>
        <w:rPr>
          <w:b/>
          <w:bCs/>
          <w:sz w:val="22"/>
          <w:szCs w:val="22"/>
        </w:rPr>
      </w:pPr>
    </w:p>
    <w:p w:rsidR="00F3067B" w:rsidRDefault="00F3067B">
      <w:pPr>
        <w:pStyle w:val="NormalWeb"/>
        <w:spacing w:before="0" w:beforeAutospacing="0" w:after="0" w:afterAutospacing="0"/>
        <w:ind w:right="66"/>
        <w:rPr>
          <w:sz w:val="22"/>
          <w:szCs w:val="22"/>
        </w:rPr>
      </w:pPr>
      <w:r>
        <w:rPr>
          <w:b/>
          <w:bCs/>
          <w:sz w:val="22"/>
          <w:szCs w:val="22"/>
        </w:rPr>
        <w:t>EPA Calculations</w:t>
      </w:r>
    </w:p>
    <w:p w:rsidR="00F3067B" w:rsidRDefault="00F3067B">
      <w:pPr>
        <w:pStyle w:val="NormalWeb"/>
        <w:spacing w:before="0" w:beforeAutospacing="0" w:after="0" w:afterAutospacing="0"/>
        <w:ind w:right="72"/>
        <w:rPr>
          <w:sz w:val="22"/>
          <w:szCs w:val="22"/>
        </w:rPr>
      </w:pPr>
    </w:p>
    <w:p w:rsidR="00F3067B" w:rsidRDefault="00F3067B">
      <w:pPr>
        <w:pStyle w:val="NormalWeb"/>
        <w:spacing w:before="0" w:beforeAutospacing="0" w:after="0" w:afterAutospacing="0"/>
        <w:ind w:right="72"/>
        <w:rPr>
          <w:sz w:val="22"/>
          <w:szCs w:val="22"/>
        </w:rPr>
      </w:pPr>
      <w:r>
        <w:rPr>
          <w:i/>
          <w:iCs/>
          <w:sz w:val="22"/>
          <w:szCs w:val="22"/>
        </w:rPr>
        <w:t xml:space="preserve">Column 2 - ENR Indices </w:t>
      </w:r>
      <w:r>
        <w:rPr>
          <w:sz w:val="22"/>
          <w:szCs w:val="22"/>
        </w:rPr>
        <w:t>for the options derive from the issue of the McGraw-Hill publication ENR published during the month before the effective date of the option. The ENR Index for the Contract Award is the most recent ENR index published during the month before initial contract award</w:t>
      </w:r>
      <w:bookmarkStart w:id="2" w:name="P223_18624"/>
      <w:bookmarkEnd w:id="2"/>
      <w:r>
        <w:rPr>
          <w:sz w:val="22"/>
          <w:szCs w:val="22"/>
        </w:rPr>
        <w:t>.</w:t>
      </w:r>
    </w:p>
    <w:p w:rsidR="00F3067B" w:rsidRDefault="00F3067B">
      <w:pPr>
        <w:pStyle w:val="NormalWeb"/>
        <w:spacing w:before="0" w:beforeAutospacing="0" w:after="0" w:afterAutospacing="0"/>
        <w:ind w:right="72"/>
        <w:rPr>
          <w:sz w:val="22"/>
          <w:szCs w:val="22"/>
        </w:rPr>
      </w:pPr>
    </w:p>
    <w:p w:rsidR="002B3941" w:rsidRDefault="002B3941"/>
    <w:sectPr w:rsidR="002B3941">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246" w:rsidRDefault="00012246">
      <w:r>
        <w:separator/>
      </w:r>
    </w:p>
  </w:endnote>
  <w:endnote w:type="continuationSeparator" w:id="0">
    <w:p w:rsidR="00012246" w:rsidRDefault="000122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246" w:rsidRDefault="00012246">
      <w:r>
        <w:separator/>
      </w:r>
    </w:p>
  </w:footnote>
  <w:footnote w:type="continuationSeparator" w:id="0">
    <w:p w:rsidR="00012246" w:rsidRDefault="000122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3067B"/>
    <w:rsid w:val="00012246"/>
    <w:rsid w:val="002B3941"/>
    <w:rsid w:val="00340930"/>
    <w:rsid w:val="00734F77"/>
    <w:rsid w:val="00A26D26"/>
    <w:rsid w:val="00B17CFA"/>
    <w:rsid w:val="00D523A0"/>
    <w:rsid w:val="00F306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r.construction.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2158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USAF</Company>
  <LinksUpToDate>false</LinksUpToDate>
  <CharactersWithSpaces>2550</CharactersWithSpaces>
  <SharedDoc>false</SharedDoc>
  <HLinks>
    <vt:vector size="6" baseType="variant">
      <vt:variant>
        <vt:i4>4522061</vt:i4>
      </vt:variant>
      <vt:variant>
        <vt:i4>0</vt:i4>
      </vt:variant>
      <vt:variant>
        <vt:i4>0</vt:i4>
      </vt:variant>
      <vt:variant>
        <vt:i4>5</vt:i4>
      </vt:variant>
      <vt:variant>
        <vt:lpwstr>http://enr.construction.com/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 Integrated Desktop 6.0</dc:creator>
  <cp:keywords/>
  <dc:description/>
  <cp:lastModifiedBy>Jeffrey W Voudren</cp:lastModifiedBy>
  <cp:revision>2</cp:revision>
  <dcterms:created xsi:type="dcterms:W3CDTF">2011-09-02T12:58:00Z</dcterms:created>
  <dcterms:modified xsi:type="dcterms:W3CDTF">2011-09-02T12:58:00Z</dcterms:modified>
</cp:coreProperties>
</file>